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E6" w:rsidRPr="004856E6" w:rsidRDefault="004856E6" w:rsidP="004856E6">
      <w:pPr>
        <w:rPr>
          <w:color w:val="333333"/>
          <w:szCs w:val="14"/>
          <w:shd w:val="clear" w:color="auto" w:fill="FFFFFF"/>
        </w:rPr>
      </w:pPr>
      <w:r w:rsidRPr="004856E6">
        <w:rPr>
          <w:szCs w:val="20"/>
        </w:rPr>
        <w:t xml:space="preserve">This article is published in the American Psychological Association </w:t>
      </w:r>
      <w:r w:rsidR="00D801B6">
        <w:rPr>
          <w:szCs w:val="20"/>
        </w:rPr>
        <w:t xml:space="preserve">(APA) </w:t>
      </w:r>
      <w:r w:rsidRPr="004856E6">
        <w:rPr>
          <w:szCs w:val="20"/>
        </w:rPr>
        <w:t xml:space="preserve">journal: </w:t>
      </w:r>
      <w:r w:rsidR="0041616B">
        <w:rPr>
          <w:rStyle w:val="Uthevet"/>
          <w:color w:val="333333"/>
          <w:szCs w:val="14"/>
          <w:shd w:val="clear" w:color="auto" w:fill="FFFFFF"/>
        </w:rPr>
        <w:t>Psychology of Consciousness</w:t>
      </w:r>
      <w:r w:rsidRPr="004856E6">
        <w:rPr>
          <w:rStyle w:val="Uthevet"/>
          <w:color w:val="333333"/>
          <w:szCs w:val="14"/>
          <w:shd w:val="clear" w:color="auto" w:fill="FFFFFF"/>
        </w:rPr>
        <w:t xml:space="preserve"> </w:t>
      </w:r>
      <w:r>
        <w:rPr>
          <w:rStyle w:val="Uthevet"/>
          <w:i w:val="0"/>
          <w:color w:val="333333"/>
          <w:szCs w:val="14"/>
          <w:shd w:val="clear" w:color="auto" w:fill="FFFFFF"/>
        </w:rPr>
        <w:t>(2020)</w:t>
      </w:r>
    </w:p>
    <w:p w:rsidR="004856E6" w:rsidRPr="004856E6" w:rsidRDefault="004856E6" w:rsidP="004856E6">
      <w:r>
        <w:rPr>
          <w:color w:val="333333"/>
          <w:szCs w:val="14"/>
          <w:shd w:val="clear" w:color="auto" w:fill="FFFFFF"/>
        </w:rPr>
        <w:t xml:space="preserve">Advance online publication: </w:t>
      </w:r>
      <w:r w:rsidRPr="004856E6">
        <w:rPr>
          <w:color w:val="333333"/>
          <w:szCs w:val="14"/>
          <w:shd w:val="clear" w:color="auto" w:fill="FFFFFF"/>
        </w:rPr>
        <w:t> </w:t>
      </w:r>
      <w:r w:rsidRPr="004856E6">
        <w:fldChar w:fldCharType="begin"/>
      </w:r>
      <w:r w:rsidRPr="004856E6">
        <w:instrText xml:space="preserve"> HYPERLINK "https://psycnet.apa.org/doi/10.1037/cns0000234" \t "_blank" </w:instrText>
      </w:r>
      <w:r w:rsidRPr="004856E6">
        <w:fldChar w:fldCharType="separate"/>
      </w:r>
      <w:r w:rsidRPr="004856E6">
        <w:rPr>
          <w:rStyle w:val="Hyperkobling"/>
          <w:color w:val="337AB7"/>
          <w:szCs w:val="14"/>
          <w:shd w:val="clear" w:color="auto" w:fill="FFFFFF"/>
        </w:rPr>
        <w:t>https://doi.org/10.1037/cns0000234</w:t>
      </w:r>
      <w:r w:rsidRPr="004856E6">
        <w:fldChar w:fldCharType="end"/>
      </w:r>
      <w:r>
        <w:t xml:space="preserve"> (only abstract is free of charge). </w:t>
      </w:r>
      <w:r w:rsidR="00D801B6">
        <w:t>APA</w:t>
      </w:r>
      <w:r w:rsidRPr="004856E6">
        <w:t xml:space="preserve"> have the copyright, I am only allowed to add the last Word file on my pages.</w:t>
      </w:r>
    </w:p>
    <w:p w:rsidR="001000A3" w:rsidRPr="006C2DA7" w:rsidRDefault="001000A3" w:rsidP="006C2DA7">
      <w:pPr>
        <w:pStyle w:val="Body"/>
        <w:tabs>
          <w:tab w:val="left" w:pos="426"/>
        </w:tabs>
        <w:spacing w:line="360" w:lineRule="auto"/>
        <w:ind w:firstLine="426"/>
        <w:rPr>
          <w:rFonts w:ascii="Arial Unicode MS" w:hAnsi="Arial Unicode MS"/>
          <w:sz w:val="20"/>
          <w:szCs w:val="20"/>
        </w:rPr>
      </w:pPr>
    </w:p>
    <w:p w:rsidR="001000A3" w:rsidRPr="006C2DA7" w:rsidRDefault="001000A3" w:rsidP="006C2DA7">
      <w:pPr>
        <w:pStyle w:val="Brdtekst"/>
        <w:tabs>
          <w:tab w:val="left" w:pos="426"/>
        </w:tabs>
        <w:spacing w:line="360" w:lineRule="auto"/>
        <w:ind w:firstLine="426"/>
        <w:rPr>
          <w:rFonts w:ascii="Arial Unicode MS" w:eastAsia="Arial Unicode MS" w:hAnsi="Arial Unicode MS" w:cs="Arial Unicode MS"/>
          <w:sz w:val="20"/>
          <w:szCs w:val="20"/>
        </w:rPr>
      </w:pPr>
    </w:p>
    <w:p w:rsidR="001000A3" w:rsidRPr="006C2DA7" w:rsidRDefault="001000A3" w:rsidP="006C2DA7">
      <w:pPr>
        <w:pStyle w:val="Brdtekst"/>
        <w:tabs>
          <w:tab w:val="left" w:pos="426"/>
        </w:tabs>
        <w:spacing w:line="360" w:lineRule="auto"/>
        <w:ind w:firstLine="426"/>
        <w:rPr>
          <w:rFonts w:ascii="Arial Unicode MS" w:eastAsia="Arial Unicode MS" w:hAnsi="Arial Unicode MS" w:cs="Arial Unicode MS"/>
          <w:sz w:val="20"/>
          <w:szCs w:val="20"/>
        </w:rPr>
      </w:pPr>
    </w:p>
    <w:p w:rsidR="001000A3" w:rsidRPr="006C2DA7" w:rsidRDefault="001000A3" w:rsidP="006C2DA7">
      <w:pPr>
        <w:pStyle w:val="Brdtekst"/>
        <w:tabs>
          <w:tab w:val="left" w:pos="426"/>
        </w:tabs>
        <w:spacing w:line="360" w:lineRule="auto"/>
        <w:ind w:firstLine="426"/>
        <w:rPr>
          <w:rFonts w:ascii="Arial Unicode MS" w:eastAsia="Arial Unicode MS" w:hAnsi="Arial Unicode MS" w:cs="Arial Unicode MS"/>
          <w:sz w:val="16"/>
          <w:szCs w:val="16"/>
        </w:rPr>
      </w:pPr>
    </w:p>
    <w:p w:rsidR="001000A3" w:rsidRPr="006C2DA7" w:rsidRDefault="00462402" w:rsidP="006C2DA7">
      <w:pPr>
        <w:pStyle w:val="Heading"/>
        <w:tabs>
          <w:tab w:val="left" w:pos="426"/>
        </w:tabs>
        <w:spacing w:before="0" w:line="360" w:lineRule="auto"/>
        <w:ind w:left="0" w:right="101" w:firstLine="426"/>
      </w:pPr>
      <w:r w:rsidRPr="006C2DA7">
        <w:rPr>
          <w:color w:val="345A88"/>
          <w:u w:color="345A88"/>
        </w:rPr>
        <w:t>A Global Workspace, Evolution-Based Model of the Effect of Psychedelics on Consciousness</w:t>
      </w:r>
    </w:p>
    <w:p w:rsidR="001000A3" w:rsidRPr="006C2DA7" w:rsidRDefault="001000A3" w:rsidP="006C2DA7">
      <w:pPr>
        <w:pStyle w:val="Brdtekst"/>
        <w:tabs>
          <w:tab w:val="left" w:pos="426"/>
        </w:tabs>
        <w:spacing w:line="360" w:lineRule="auto"/>
        <w:ind w:firstLine="426"/>
        <w:rPr>
          <w:b/>
          <w:bCs/>
        </w:rPr>
      </w:pPr>
    </w:p>
    <w:p w:rsidR="001000A3" w:rsidRPr="006C2DA7" w:rsidRDefault="00462402" w:rsidP="006C2DA7">
      <w:pPr>
        <w:pStyle w:val="Overskrift2"/>
        <w:tabs>
          <w:tab w:val="left" w:pos="426"/>
        </w:tabs>
        <w:spacing w:line="360" w:lineRule="auto"/>
        <w:ind w:left="0" w:firstLine="426"/>
        <w:rPr>
          <w:lang w:val="en-US"/>
        </w:rPr>
      </w:pPr>
      <w:r w:rsidRPr="006C2DA7">
        <w:rPr>
          <w:lang w:val="en-US"/>
        </w:rPr>
        <w:t>Bjørn Grinde</w:t>
      </w:r>
    </w:p>
    <w:p w:rsidR="001000A3" w:rsidRPr="006C2DA7" w:rsidRDefault="00462402" w:rsidP="006C2DA7">
      <w:pPr>
        <w:pStyle w:val="Brdtekst"/>
        <w:tabs>
          <w:tab w:val="left" w:pos="426"/>
        </w:tabs>
        <w:spacing w:line="360" w:lineRule="auto"/>
        <w:ind w:right="101" w:firstLine="426"/>
        <w:jc w:val="center"/>
      </w:pPr>
      <w:r w:rsidRPr="006C2DA7">
        <w:t>Norwegian Institute of Public Health, Oslo, Norway</w:t>
      </w:r>
    </w:p>
    <w:p w:rsidR="001000A3" w:rsidRPr="006C2DA7" w:rsidRDefault="001000A3" w:rsidP="006C2DA7">
      <w:pPr>
        <w:pStyle w:val="Brdtekst"/>
        <w:tabs>
          <w:tab w:val="left" w:pos="426"/>
        </w:tabs>
        <w:spacing w:line="360" w:lineRule="auto"/>
        <w:ind w:firstLine="426"/>
      </w:pPr>
    </w:p>
    <w:p w:rsidR="001000A3" w:rsidRPr="006C2DA7" w:rsidRDefault="001000A3" w:rsidP="006C2DA7">
      <w:pPr>
        <w:pStyle w:val="Brdtekst"/>
        <w:tabs>
          <w:tab w:val="left" w:pos="426"/>
        </w:tabs>
        <w:spacing w:line="360" w:lineRule="auto"/>
        <w:ind w:firstLine="426"/>
      </w:pPr>
    </w:p>
    <w:p w:rsidR="001000A3" w:rsidRPr="006C2DA7" w:rsidRDefault="00462402" w:rsidP="006C2DA7">
      <w:pPr>
        <w:pStyle w:val="Overskrift2"/>
        <w:tabs>
          <w:tab w:val="left" w:pos="426"/>
        </w:tabs>
        <w:spacing w:line="360" w:lineRule="auto"/>
        <w:ind w:left="0" w:firstLine="426"/>
        <w:rPr>
          <w:lang w:val="en-US"/>
        </w:rPr>
      </w:pPr>
      <w:r w:rsidRPr="006C2DA7">
        <w:rPr>
          <w:lang w:val="en-US"/>
        </w:rPr>
        <w:t>Lowan Stewart</w:t>
      </w:r>
    </w:p>
    <w:p w:rsidR="001000A3" w:rsidRPr="006C2DA7" w:rsidRDefault="00462402" w:rsidP="006C2DA7">
      <w:pPr>
        <w:pStyle w:val="Brdtekst"/>
        <w:tabs>
          <w:tab w:val="left" w:pos="426"/>
        </w:tabs>
        <w:spacing w:line="360" w:lineRule="auto"/>
        <w:ind w:right="101" w:firstLine="426"/>
        <w:jc w:val="center"/>
      </w:pPr>
      <w:r w:rsidRPr="006C2DA7">
        <w:t>Department of Emergency Medicine, CSV Regional Medical Center, Santa Fe, New Mexico, USA</w:t>
      </w:r>
    </w:p>
    <w:p w:rsidR="001000A3" w:rsidRPr="006C2DA7" w:rsidRDefault="001000A3" w:rsidP="00207C3D">
      <w:pPr>
        <w:pStyle w:val="Brdtekst"/>
        <w:tabs>
          <w:tab w:val="left" w:pos="426"/>
        </w:tabs>
        <w:spacing w:line="360" w:lineRule="auto"/>
      </w:pPr>
    </w:p>
    <w:p w:rsidR="001000A3" w:rsidRPr="006C2DA7" w:rsidRDefault="00462402" w:rsidP="00207C3D">
      <w:pPr>
        <w:pStyle w:val="Body"/>
        <w:tabs>
          <w:tab w:val="left" w:pos="426"/>
        </w:tabs>
        <w:spacing w:line="360" w:lineRule="auto"/>
        <w:rPr>
          <w:sz w:val="24"/>
          <w:szCs w:val="24"/>
        </w:rPr>
      </w:pPr>
      <w:r w:rsidRPr="006C2DA7">
        <w:rPr>
          <w:sz w:val="24"/>
          <w:szCs w:val="24"/>
        </w:rPr>
        <w:t>Running head: Psychedelics</w:t>
      </w:r>
    </w:p>
    <w:p w:rsidR="001000A3" w:rsidRPr="006C2DA7" w:rsidRDefault="001000A3" w:rsidP="00207C3D">
      <w:pPr>
        <w:pStyle w:val="Brdtekst"/>
        <w:tabs>
          <w:tab w:val="left" w:pos="426"/>
        </w:tabs>
        <w:spacing w:line="360" w:lineRule="auto"/>
      </w:pPr>
    </w:p>
    <w:p w:rsidR="001000A3" w:rsidRPr="006C2DA7" w:rsidRDefault="001000A3" w:rsidP="00207C3D">
      <w:pPr>
        <w:pStyle w:val="Brdtekst"/>
        <w:tabs>
          <w:tab w:val="left" w:pos="426"/>
        </w:tabs>
        <w:spacing w:line="360" w:lineRule="auto"/>
      </w:pPr>
    </w:p>
    <w:p w:rsidR="001000A3" w:rsidRPr="006C2DA7" w:rsidRDefault="00462402" w:rsidP="00207C3D">
      <w:pPr>
        <w:pStyle w:val="Body"/>
        <w:tabs>
          <w:tab w:val="left" w:pos="426"/>
        </w:tabs>
        <w:spacing w:line="360" w:lineRule="auto"/>
        <w:ind w:right="133"/>
        <w:rPr>
          <w:sz w:val="24"/>
          <w:szCs w:val="24"/>
        </w:rPr>
      </w:pPr>
      <w:r w:rsidRPr="006C2DA7">
        <w:rPr>
          <w:sz w:val="24"/>
          <w:szCs w:val="24"/>
        </w:rPr>
        <w:t xml:space="preserve">Correspondence concerning this article should be addressed to Bjørn Grinde, Division of Mental and Physical Health, Norwegian Institute of Public Health, PO Box 222 Skøyen, NO-0213 Oslo, Norway. E-mail: </w:t>
      </w:r>
      <w:hyperlink r:id="rId7" w:history="1">
        <w:r w:rsidRPr="006C2DA7">
          <w:rPr>
            <w:rStyle w:val="Hyperlink0"/>
            <w:sz w:val="24"/>
            <w:szCs w:val="24"/>
          </w:rPr>
          <w:t>bjgr@fhi.no</w:t>
        </w:r>
      </w:hyperlink>
    </w:p>
    <w:p w:rsidR="001000A3" w:rsidRPr="006C2DA7" w:rsidRDefault="001000A3" w:rsidP="00207C3D">
      <w:pPr>
        <w:pStyle w:val="Brdtekst"/>
        <w:tabs>
          <w:tab w:val="left" w:pos="426"/>
        </w:tabs>
        <w:spacing w:line="360" w:lineRule="auto"/>
      </w:pPr>
    </w:p>
    <w:p w:rsidR="001000A3" w:rsidRPr="006C2DA7" w:rsidRDefault="00462402" w:rsidP="00207C3D">
      <w:pPr>
        <w:pStyle w:val="Body"/>
        <w:tabs>
          <w:tab w:val="left" w:pos="426"/>
        </w:tabs>
        <w:spacing w:line="360" w:lineRule="auto"/>
        <w:rPr>
          <w:rStyle w:val="None"/>
          <w:rFonts w:cs="Times New Roman"/>
          <w:sz w:val="24"/>
          <w:szCs w:val="24"/>
        </w:rPr>
      </w:pPr>
      <w:r w:rsidRPr="006C2DA7">
        <w:rPr>
          <w:rStyle w:val="None"/>
          <w:b/>
          <w:bCs/>
          <w:sz w:val="24"/>
          <w:szCs w:val="24"/>
        </w:rPr>
        <w:t>Disclosure:</w:t>
      </w:r>
    </w:p>
    <w:p w:rsidR="001000A3" w:rsidRPr="006C2DA7" w:rsidRDefault="00462402" w:rsidP="00207C3D">
      <w:pPr>
        <w:pStyle w:val="Body"/>
        <w:tabs>
          <w:tab w:val="left" w:pos="426"/>
        </w:tabs>
        <w:spacing w:line="360" w:lineRule="auto"/>
        <w:ind w:right="270"/>
        <w:rPr>
          <w:sz w:val="24"/>
          <w:szCs w:val="24"/>
        </w:rPr>
      </w:pPr>
      <w:r w:rsidRPr="006C2DA7">
        <w:rPr>
          <w:sz w:val="24"/>
          <w:szCs w:val="24"/>
        </w:rPr>
        <w:t xml:space="preserve">Lowan Stewart is the medical director of two clinics, in the US and Norway, treating depression with ketamine. He is also an unpaid medical research advisor on three randomized controlled trials: </w:t>
      </w:r>
      <w:r w:rsidRPr="006C2DA7">
        <w:rPr>
          <w:rStyle w:val="None"/>
          <w:i/>
          <w:iCs/>
          <w:sz w:val="24"/>
          <w:szCs w:val="24"/>
        </w:rPr>
        <w:t xml:space="preserve">Compass </w:t>
      </w:r>
      <w:r w:rsidRPr="006C2DA7">
        <w:rPr>
          <w:sz w:val="24"/>
          <w:szCs w:val="24"/>
        </w:rPr>
        <w:t xml:space="preserve">on psilocybin for depression, </w:t>
      </w:r>
      <w:r w:rsidRPr="006C2DA7">
        <w:rPr>
          <w:rStyle w:val="None"/>
          <w:i/>
          <w:iCs/>
          <w:sz w:val="24"/>
          <w:szCs w:val="24"/>
        </w:rPr>
        <w:t xml:space="preserve">MAPS </w:t>
      </w:r>
      <w:r w:rsidRPr="006C2DA7">
        <w:rPr>
          <w:sz w:val="24"/>
          <w:szCs w:val="24"/>
        </w:rPr>
        <w:t xml:space="preserve">on MDMA for PTSD, and </w:t>
      </w:r>
      <w:r w:rsidRPr="006C2DA7">
        <w:rPr>
          <w:rStyle w:val="None"/>
          <w:i/>
          <w:iCs/>
          <w:sz w:val="24"/>
          <w:szCs w:val="24"/>
        </w:rPr>
        <w:t xml:space="preserve">Janssen Pharmaceuticals </w:t>
      </w:r>
      <w:r w:rsidRPr="006C2DA7">
        <w:rPr>
          <w:sz w:val="24"/>
          <w:szCs w:val="24"/>
        </w:rPr>
        <w:t>on esketamine for depression.</w:t>
      </w:r>
    </w:p>
    <w:p w:rsidR="001000A3" w:rsidRPr="006C2DA7" w:rsidRDefault="00462402" w:rsidP="00207C3D">
      <w:pPr>
        <w:pStyle w:val="Body"/>
        <w:tabs>
          <w:tab w:val="left" w:pos="426"/>
        </w:tabs>
        <w:spacing w:line="360" w:lineRule="auto"/>
        <w:rPr>
          <w:rStyle w:val="None"/>
        </w:rPr>
      </w:pPr>
      <w:r w:rsidRPr="006C2DA7">
        <w:rPr>
          <w:rStyle w:val="None"/>
          <w:b/>
          <w:bCs/>
          <w:sz w:val="24"/>
          <w:szCs w:val="24"/>
        </w:rPr>
        <w:t>Data:</w:t>
      </w:r>
    </w:p>
    <w:p w:rsidR="001000A3" w:rsidRPr="006C2DA7" w:rsidRDefault="00462402" w:rsidP="00207C3D">
      <w:pPr>
        <w:pStyle w:val="Body"/>
        <w:tabs>
          <w:tab w:val="left" w:pos="426"/>
        </w:tabs>
        <w:spacing w:line="360" w:lineRule="auto"/>
        <w:ind w:right="783"/>
        <w:rPr>
          <w:rStyle w:val="None"/>
        </w:rPr>
      </w:pPr>
      <w:r w:rsidRPr="006C2DA7">
        <w:rPr>
          <w:sz w:val="24"/>
          <w:szCs w:val="24"/>
        </w:rPr>
        <w:t>This is a theoretical paper and as such does not rely on any unpublished dataset. Moreover, there is no reference to unpublished studies.</w:t>
      </w:r>
    </w:p>
    <w:p w:rsidR="001000A3" w:rsidRPr="006C2DA7" w:rsidRDefault="001000A3" w:rsidP="00207C3D">
      <w:pPr>
        <w:pStyle w:val="Brdtekst"/>
        <w:tabs>
          <w:tab w:val="left" w:pos="426"/>
        </w:tabs>
        <w:spacing w:line="360" w:lineRule="auto"/>
        <w:rPr>
          <w:rStyle w:val="None"/>
          <w:rFonts w:eastAsia="Arial Unicode MS" w:cs="Arial Unicode MS"/>
          <w:sz w:val="22"/>
          <w:szCs w:val="22"/>
        </w:rPr>
      </w:pPr>
    </w:p>
    <w:p w:rsidR="001000A3" w:rsidRPr="006C2DA7" w:rsidRDefault="001000A3" w:rsidP="00207C3D">
      <w:pPr>
        <w:pStyle w:val="Brdtekst"/>
        <w:tabs>
          <w:tab w:val="left" w:pos="426"/>
        </w:tabs>
        <w:spacing w:line="360" w:lineRule="auto"/>
        <w:rPr>
          <w:rStyle w:val="None"/>
        </w:rPr>
      </w:pPr>
    </w:p>
    <w:p w:rsidR="001000A3" w:rsidRPr="006C2DA7" w:rsidRDefault="001000A3" w:rsidP="00207C3D">
      <w:pPr>
        <w:pStyle w:val="Brdtekst"/>
        <w:tabs>
          <w:tab w:val="left" w:pos="426"/>
        </w:tabs>
        <w:spacing w:line="360" w:lineRule="auto"/>
        <w:rPr>
          <w:rStyle w:val="None"/>
        </w:rPr>
      </w:pPr>
    </w:p>
    <w:p w:rsidR="001000A3" w:rsidRPr="006C2DA7" w:rsidRDefault="001000A3" w:rsidP="00207C3D">
      <w:pPr>
        <w:pStyle w:val="Brdtekst"/>
        <w:tabs>
          <w:tab w:val="left" w:pos="426"/>
        </w:tabs>
        <w:spacing w:line="360" w:lineRule="auto"/>
        <w:rPr>
          <w:rStyle w:val="None"/>
        </w:rPr>
      </w:pPr>
    </w:p>
    <w:p w:rsidR="001000A3" w:rsidRPr="006C2DA7" w:rsidRDefault="001000A3" w:rsidP="00207C3D">
      <w:pPr>
        <w:pStyle w:val="Ingenmellomrom"/>
        <w:rPr>
          <w:rStyle w:val="None"/>
          <w:color w:val="000000"/>
          <w:u w:color="000000"/>
        </w:rPr>
      </w:pPr>
    </w:p>
    <w:p w:rsidR="001000A3" w:rsidRPr="006C2DA7" w:rsidRDefault="001000A3" w:rsidP="00207C3D">
      <w:pPr>
        <w:pStyle w:val="Ingenmellomrom"/>
        <w:rPr>
          <w:rStyle w:val="None"/>
        </w:rPr>
      </w:pPr>
    </w:p>
    <w:p w:rsidR="001000A3" w:rsidRPr="006C2DA7" w:rsidRDefault="001000A3" w:rsidP="00207C3D">
      <w:pPr>
        <w:pStyle w:val="Ingenmellomrom"/>
        <w:rPr>
          <w:rStyle w:val="None"/>
        </w:rPr>
      </w:pPr>
    </w:p>
    <w:p w:rsidR="006C2DA7" w:rsidRDefault="006C2DA7" w:rsidP="00207C3D">
      <w:pPr>
        <w:pStyle w:val="Ingenmellomrom"/>
        <w:rPr>
          <w:rStyle w:val="None"/>
        </w:rPr>
      </w:pPr>
    </w:p>
    <w:p w:rsidR="006C2DA7" w:rsidRDefault="006C2DA7" w:rsidP="00207C3D">
      <w:pPr>
        <w:pStyle w:val="Ingenmellomrom"/>
        <w:rPr>
          <w:rStyle w:val="None"/>
        </w:rPr>
      </w:pPr>
    </w:p>
    <w:p w:rsidR="006C2DA7" w:rsidRDefault="006C2DA7" w:rsidP="00207C3D">
      <w:pPr>
        <w:pStyle w:val="Ingenmellomrom"/>
        <w:rPr>
          <w:rStyle w:val="None"/>
        </w:rPr>
      </w:pPr>
    </w:p>
    <w:p w:rsidR="006C2DA7" w:rsidRDefault="006C2DA7" w:rsidP="00207C3D">
      <w:pPr>
        <w:pStyle w:val="Ingenmellomrom"/>
        <w:rPr>
          <w:rStyle w:val="None"/>
        </w:rPr>
      </w:pPr>
    </w:p>
    <w:p w:rsidR="001000A3" w:rsidRPr="006C2DA7" w:rsidRDefault="00462402" w:rsidP="006C2DA7">
      <w:pPr>
        <w:pStyle w:val="Brdtekst"/>
        <w:tabs>
          <w:tab w:val="left" w:pos="426"/>
        </w:tabs>
        <w:spacing w:line="360" w:lineRule="auto"/>
        <w:ind w:right="108"/>
      </w:pPr>
      <w:r w:rsidRPr="006C2DA7">
        <w:rPr>
          <w:rStyle w:val="None"/>
          <w:sz w:val="26"/>
          <w:szCs w:val="26"/>
        </w:rPr>
        <w:t>W</w:t>
      </w:r>
      <w:r w:rsidRPr="006C2DA7">
        <w:rPr>
          <w:rStyle w:val="None"/>
        </w:rPr>
        <w:t>e review data on the mental effects of psychedelics, and their corresponding neurobiology, in order to advance a model of consciousness</w:t>
      </w:r>
      <w:r w:rsidR="00523340">
        <w:rPr>
          <w:rStyle w:val="None"/>
        </w:rPr>
        <w:t xml:space="preserve"> </w:t>
      </w:r>
      <w:r w:rsidRPr="006C2DA7">
        <w:rPr>
          <w:rStyle w:val="None"/>
        </w:rPr>
        <w:t>based on the global neuronal workspace theory and an evolutionary perspective. While some restrict the term psychedelics to certain serotonergic drugs, we opt for a broader definition. The term comprises five categories of substances: classical psychedelics, empathogens, cannabinergics, dissociatives, and deliriants. The neurobiological correlates of the perceptual and cognitive effects are discussed for each category. Finally, we consider the relevance of psychedelics for research on consciousness as well as for mental health.</w:t>
      </w:r>
    </w:p>
    <w:p w:rsidR="001000A3" w:rsidRPr="006C2DA7" w:rsidRDefault="001000A3" w:rsidP="006C2DA7">
      <w:pPr>
        <w:pStyle w:val="Brdtekst"/>
        <w:tabs>
          <w:tab w:val="left" w:pos="426"/>
        </w:tabs>
        <w:spacing w:line="360" w:lineRule="auto"/>
        <w:rPr>
          <w:rStyle w:val="None"/>
        </w:rPr>
      </w:pPr>
    </w:p>
    <w:p w:rsidR="001000A3" w:rsidRPr="006C2DA7" w:rsidRDefault="001000A3" w:rsidP="006C2DA7">
      <w:pPr>
        <w:pStyle w:val="Brdtekst"/>
        <w:tabs>
          <w:tab w:val="left" w:pos="426"/>
        </w:tabs>
        <w:spacing w:line="360" w:lineRule="auto"/>
        <w:rPr>
          <w:rStyle w:val="None"/>
        </w:rPr>
      </w:pPr>
    </w:p>
    <w:p w:rsidR="001000A3" w:rsidRPr="006C2DA7" w:rsidRDefault="00462402" w:rsidP="006C2DA7">
      <w:pPr>
        <w:pStyle w:val="Brdtekst"/>
        <w:tabs>
          <w:tab w:val="left" w:pos="426"/>
        </w:tabs>
        <w:spacing w:line="360" w:lineRule="auto"/>
        <w:ind w:right="354"/>
      </w:pPr>
      <w:r w:rsidRPr="006C2DA7">
        <w:rPr>
          <w:rStyle w:val="None"/>
          <w:i/>
          <w:iCs/>
        </w:rPr>
        <w:t>Keywords</w:t>
      </w:r>
      <w:r w:rsidRPr="006C2DA7">
        <w:rPr>
          <w:rStyle w:val="None"/>
        </w:rPr>
        <w:t>: evolutionary perspective; psychedelics; altered states; global neuronal workspace; brain modules</w:t>
      </w:r>
    </w:p>
    <w:p w:rsidR="001000A3" w:rsidRPr="006C2DA7" w:rsidRDefault="001000A3" w:rsidP="006C2DA7">
      <w:pPr>
        <w:pStyle w:val="Brdtekst"/>
        <w:tabs>
          <w:tab w:val="left" w:pos="426"/>
        </w:tabs>
        <w:spacing w:line="360" w:lineRule="auto"/>
        <w:rPr>
          <w:rStyle w:val="None"/>
        </w:rPr>
      </w:pPr>
    </w:p>
    <w:p w:rsidR="001000A3" w:rsidRPr="006C2DA7" w:rsidRDefault="001000A3" w:rsidP="006C2DA7">
      <w:pPr>
        <w:pStyle w:val="Brdtekst"/>
        <w:tabs>
          <w:tab w:val="left" w:pos="426"/>
        </w:tabs>
        <w:spacing w:line="360" w:lineRule="auto"/>
        <w:rPr>
          <w:rStyle w:val="None"/>
        </w:rPr>
      </w:pPr>
    </w:p>
    <w:p w:rsidR="001000A3" w:rsidRPr="006C2DA7" w:rsidRDefault="001000A3" w:rsidP="006C2DA7">
      <w:pPr>
        <w:pStyle w:val="Brdtekst"/>
        <w:tabs>
          <w:tab w:val="left" w:pos="426"/>
        </w:tabs>
        <w:spacing w:line="360" w:lineRule="auto"/>
        <w:rPr>
          <w:rStyle w:val="None"/>
        </w:rPr>
      </w:pPr>
    </w:p>
    <w:p w:rsidR="001000A3" w:rsidRPr="006C2DA7" w:rsidRDefault="00462402" w:rsidP="006C2DA7">
      <w:pPr>
        <w:pStyle w:val="Brdtekst"/>
        <w:tabs>
          <w:tab w:val="left" w:pos="426"/>
        </w:tabs>
        <w:spacing w:line="360" w:lineRule="auto"/>
        <w:ind w:right="421"/>
        <w:rPr>
          <w:rStyle w:val="None"/>
        </w:rPr>
      </w:pPr>
      <w:r w:rsidRPr="006C2DA7">
        <w:rPr>
          <w:rStyle w:val="None"/>
          <w:i/>
          <w:iCs/>
        </w:rPr>
        <w:t>Abbreviations</w:t>
      </w:r>
      <w:r w:rsidRPr="006C2DA7">
        <w:rPr>
          <w:rStyle w:val="None"/>
        </w:rPr>
        <w:t xml:space="preserve">: AMT (α-methyltryptamine); CB (cannabinoid); DMN (default mode network); DMT (N,N-dimethyltryptamine); EEG (electroencephalography); 5-HT (5- hydroxytryptamine or serotonin); GABA (gamma-aminobutyric acid); LSD (lysergic acid diethylamide or "acid"); MDMA (3,4-Methylenedioxy-methamphetamine or "ecstasy"); MRI (magnetic resonance imaging); ms (millisecond); NMDA (N-Methyl-D-aspartate); </w:t>
      </w:r>
      <w:r w:rsidRPr="006C2DA7">
        <w:rPr>
          <w:rStyle w:val="None"/>
          <w:color w:val="1F1F1F"/>
          <w:u w:color="1F1F1F"/>
        </w:rPr>
        <w:t xml:space="preserve">PCP (phencyclidine or "angel dust"); REM (rapid eye movement); </w:t>
      </w:r>
      <w:r w:rsidRPr="006C2DA7">
        <w:rPr>
          <w:rStyle w:val="None"/>
        </w:rPr>
        <w:t>THC (tetrahydrocannabinol)</w:t>
      </w:r>
    </w:p>
    <w:p w:rsidR="001000A3" w:rsidRPr="006C2DA7" w:rsidRDefault="001000A3" w:rsidP="006C2DA7">
      <w:pPr>
        <w:pStyle w:val="Brdtekst"/>
        <w:tabs>
          <w:tab w:val="left" w:pos="426"/>
        </w:tabs>
        <w:spacing w:line="360" w:lineRule="auto"/>
        <w:ind w:right="421" w:firstLine="426"/>
        <w:rPr>
          <w:rStyle w:val="None"/>
        </w:rPr>
      </w:pPr>
    </w:p>
    <w:p w:rsidR="001000A3" w:rsidRPr="006C2DA7" w:rsidRDefault="00462402" w:rsidP="006C2DA7">
      <w:pPr>
        <w:pStyle w:val="Brdtekst"/>
        <w:tabs>
          <w:tab w:val="left" w:pos="426"/>
        </w:tabs>
        <w:spacing w:line="360" w:lineRule="auto"/>
        <w:ind w:right="421" w:firstLine="426"/>
      </w:pPr>
      <w:r w:rsidRPr="006C2DA7">
        <w:rPr>
          <w:rStyle w:val="None"/>
          <w:rFonts w:ascii="Arial Unicode MS" w:eastAsia="Arial Unicode MS" w:hAnsi="Arial Unicode MS" w:cs="Arial Unicode MS"/>
        </w:rPr>
        <w:br w:type="page"/>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The term </w:t>
      </w:r>
      <w:r w:rsidRPr="006C2DA7">
        <w:rPr>
          <w:rStyle w:val="None"/>
          <w:i/>
          <w:iCs/>
        </w:rPr>
        <w:t>psychedelic</w:t>
      </w:r>
      <w:r w:rsidRPr="006C2DA7">
        <w:rPr>
          <w:rStyle w:val="None"/>
        </w:rPr>
        <w:t xml:space="preserve"> means "mind-manifesting" (Kaplan, 2016) and is here broadly defined in terms of substances that affect perception and cognition in a way that induces the experience of an altered state of consciousness. As the experience may feature hallucinations, these substances are occasionally referred to as hallucinogens.</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Psychedelics are a subcategory of psychotropics, which includes all psychoactive substances. Our main objective is to explore substances that influence mental processes in a manner that induces significant changes in how people perceive themselves and the environment; including, but not limited to, delusions, paradoxical thinking, derealization, depersonalization, synesthesia, and radical alterations is the intensity and quality of perception. We focus on the following five categories of psychedelics and argue that they offer insight into the nature of consciousness:</w:t>
      </w:r>
    </w:p>
    <w:p w:rsidR="001000A3" w:rsidRPr="006C2DA7" w:rsidRDefault="00462402" w:rsidP="00207C3D">
      <w:pPr>
        <w:pStyle w:val="Brdtekst"/>
        <w:numPr>
          <w:ilvl w:val="0"/>
          <w:numId w:val="2"/>
        </w:numPr>
        <w:tabs>
          <w:tab w:val="clear" w:pos="324"/>
          <w:tab w:val="left" w:pos="426"/>
        </w:tabs>
        <w:spacing w:line="360" w:lineRule="auto"/>
        <w:ind w:left="426" w:right="421" w:hanging="284"/>
      </w:pPr>
      <w:r w:rsidRPr="006C2DA7">
        <w:rPr>
          <w:rStyle w:val="None"/>
          <w:i/>
          <w:iCs/>
        </w:rPr>
        <w:t xml:space="preserve">Classical psychedelics </w:t>
      </w:r>
      <w:r w:rsidRPr="006C2DA7">
        <w:rPr>
          <w:rStyle w:val="None"/>
        </w:rPr>
        <w:t>include substances such as LSD (lysergic acid diethylamide), psilocybin, and mescaline that affect serotonergic neurotransmission and often produce profound changes in sensory perception and cognition (Nichols, 2016).</w:t>
      </w:r>
    </w:p>
    <w:p w:rsidR="001000A3" w:rsidRPr="006C2DA7" w:rsidRDefault="00462402" w:rsidP="00207C3D">
      <w:pPr>
        <w:pStyle w:val="Brdtekst"/>
        <w:numPr>
          <w:ilvl w:val="0"/>
          <w:numId w:val="2"/>
        </w:numPr>
        <w:tabs>
          <w:tab w:val="clear" w:pos="324"/>
          <w:tab w:val="left" w:pos="426"/>
        </w:tabs>
        <w:spacing w:line="360" w:lineRule="auto"/>
        <w:ind w:left="426" w:right="421" w:hanging="284"/>
      </w:pPr>
      <w:r w:rsidRPr="006C2DA7">
        <w:rPr>
          <w:rStyle w:val="None"/>
          <w:i/>
          <w:iCs/>
        </w:rPr>
        <w:t>Empathogens</w:t>
      </w:r>
      <w:r w:rsidRPr="006C2DA7">
        <w:rPr>
          <w:rStyle w:val="None"/>
        </w:rPr>
        <w:t xml:space="preserve"> are drugs such as MDMA (3,4-methylenedioxy-methamphetamine) that induce euphoria, empathy, and increased attentiveness – primarily by stimulating the release of serotonin – but typically exert more limited effects on sensory perception (Kamilar-Britt &amp; Bedi, 2015).</w:t>
      </w:r>
    </w:p>
    <w:p w:rsidR="001000A3" w:rsidRPr="006C2DA7" w:rsidRDefault="00462402" w:rsidP="00207C3D">
      <w:pPr>
        <w:pStyle w:val="Brdtekst"/>
        <w:numPr>
          <w:ilvl w:val="0"/>
          <w:numId w:val="2"/>
        </w:numPr>
        <w:tabs>
          <w:tab w:val="clear" w:pos="324"/>
          <w:tab w:val="left" w:pos="426"/>
        </w:tabs>
        <w:spacing w:line="360" w:lineRule="auto"/>
        <w:ind w:left="426" w:right="421" w:hanging="284"/>
      </w:pPr>
      <w:r w:rsidRPr="006C2DA7">
        <w:rPr>
          <w:rStyle w:val="None"/>
          <w:i/>
          <w:iCs/>
        </w:rPr>
        <w:t xml:space="preserve">Cannabinergics </w:t>
      </w:r>
      <w:r w:rsidRPr="006C2DA7">
        <w:rPr>
          <w:rStyle w:val="None"/>
        </w:rPr>
        <w:t>include substances that affect endocannabinoid signaling, typically by binding to cannabinoid receptors (Citti, Braghiroli, Vandelli, &amp; Cannazza, 2018). The best-described example is THC (tetrahydrocannabinol), the primary psychoactive compound of cannabis, which induces changes in perception, heightened mood, altered cognition, and impaired short-term memory.</w:t>
      </w:r>
    </w:p>
    <w:p w:rsidR="001000A3" w:rsidRPr="006C2DA7" w:rsidRDefault="00462402" w:rsidP="00207C3D">
      <w:pPr>
        <w:pStyle w:val="Brdtekst"/>
        <w:numPr>
          <w:ilvl w:val="0"/>
          <w:numId w:val="2"/>
        </w:numPr>
        <w:tabs>
          <w:tab w:val="clear" w:pos="324"/>
          <w:tab w:val="left" w:pos="426"/>
        </w:tabs>
        <w:spacing w:line="360" w:lineRule="auto"/>
        <w:ind w:left="426" w:right="421" w:hanging="284"/>
      </w:pPr>
      <w:r w:rsidRPr="006C2DA7">
        <w:rPr>
          <w:rStyle w:val="None"/>
          <w:i/>
          <w:iCs/>
        </w:rPr>
        <w:t>Dissociatives</w:t>
      </w:r>
      <w:r w:rsidRPr="006C2DA7">
        <w:rPr>
          <w:rStyle w:val="None"/>
        </w:rPr>
        <w:t xml:space="preserve"> are substances such as ketamine that cause depersonalization and derealization – particularly in the form of feeling disconnected from the environment, the body, and the sense of self – in addition to altered perception (Sassano-Higgins et al., 2016).</w:t>
      </w:r>
    </w:p>
    <w:p w:rsidR="001000A3" w:rsidRPr="006C2DA7" w:rsidRDefault="00462402" w:rsidP="00207C3D">
      <w:pPr>
        <w:pStyle w:val="Brdtekst"/>
        <w:numPr>
          <w:ilvl w:val="0"/>
          <w:numId w:val="2"/>
        </w:numPr>
        <w:tabs>
          <w:tab w:val="clear" w:pos="324"/>
          <w:tab w:val="left" w:pos="426"/>
        </w:tabs>
        <w:spacing w:line="360" w:lineRule="auto"/>
        <w:ind w:left="426" w:right="421" w:hanging="284"/>
      </w:pPr>
      <w:r w:rsidRPr="006C2DA7">
        <w:rPr>
          <w:rStyle w:val="None"/>
          <w:i/>
          <w:iCs/>
        </w:rPr>
        <w:t>Deliriants</w:t>
      </w:r>
      <w:r w:rsidRPr="006C2DA7">
        <w:rPr>
          <w:rStyle w:val="None"/>
        </w:rPr>
        <w:t xml:space="preserve">, exemplified by hyoscine, are found in certain plants and mushrooms. They induce a state of delirium and produce effects similar to a delirious fever, characterized by confusion and an inability to control actions (Volgin et al., 2019). The categories are presented in Table 1 along with additional information. </w:t>
      </w:r>
    </w:p>
    <w:p w:rsidR="001000A3" w:rsidRPr="006C2DA7" w:rsidRDefault="001000A3" w:rsidP="006C2DA7">
      <w:pPr>
        <w:pStyle w:val="Brdtekst"/>
        <w:tabs>
          <w:tab w:val="left" w:pos="426"/>
        </w:tabs>
        <w:spacing w:line="360" w:lineRule="auto"/>
        <w:ind w:right="421" w:firstLine="426"/>
        <w:rPr>
          <w:rStyle w:val="None"/>
        </w:rPr>
      </w:pPr>
    </w:p>
    <w:p w:rsidR="001000A3" w:rsidRPr="006C2DA7" w:rsidRDefault="00462402" w:rsidP="006C2DA7">
      <w:pPr>
        <w:pStyle w:val="Brdtekst"/>
        <w:tabs>
          <w:tab w:val="left" w:pos="426"/>
        </w:tabs>
        <w:spacing w:line="360" w:lineRule="auto"/>
        <w:ind w:right="421" w:firstLine="426"/>
        <w:rPr>
          <w:rStyle w:val="None"/>
        </w:rPr>
      </w:pPr>
      <w:r w:rsidRPr="006C2DA7">
        <w:rPr>
          <w:rStyle w:val="None"/>
        </w:rPr>
        <w:t>The psychedelics appear to be relatively selective for conscious processes and exert limited overt effects on autonomic functions of the nervous system such as control of heart rate, smooth muscles, and cerebellum-controlled coordination of muscle movement (see references above). Psychedelics generally have limited toxicity, resulting in the relatively low incidence of morbidity and overdose mortality compared with other psychoactive substances such as alcohol, cocaine or heroin.</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Although psychedelics instill a range of </w:t>
      </w:r>
      <w:r w:rsidR="00386107">
        <w:rPr>
          <w:rStyle w:val="None"/>
        </w:rPr>
        <w:t xml:space="preserve">both </w:t>
      </w:r>
      <w:r w:rsidRPr="006C2DA7">
        <w:rPr>
          <w:rStyle w:val="None"/>
        </w:rPr>
        <w:t xml:space="preserve">positive and negative effects, we will focus on effects that users </w:t>
      </w:r>
      <w:r w:rsidR="008E69BF">
        <w:rPr>
          <w:rStyle w:val="None"/>
        </w:rPr>
        <w:t xml:space="preserve">typically </w:t>
      </w:r>
      <w:r w:rsidRPr="006C2DA7">
        <w:rPr>
          <w:rStyle w:val="None"/>
        </w:rPr>
        <w:t>find desirable. Our focus should not be viewed as an attempt to discount valid reasons for not consuming psychedelics; e.g., concerns about panic or other acute effects, as well as the lack of longitudinal research necessary to identify long-term risks (Elsey, 2017; Jungaberle et al., 2018). Any substance that radically changes the perception of reality may induce anxiety due to the apparent loss of personal control.</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We start by presenting a model of consciousness that is based on the </w:t>
      </w:r>
      <w:r w:rsidRPr="006C2DA7">
        <w:rPr>
          <w:rStyle w:val="None"/>
          <w:i/>
          <w:iCs/>
        </w:rPr>
        <w:t>global neuronal workspace theory</w:t>
      </w:r>
      <w:r w:rsidRPr="006C2DA7">
        <w:rPr>
          <w:rStyle w:val="None"/>
        </w:rPr>
        <w:t xml:space="preserve"> (Dehaene, 2014), combined with an evolutionary perspective on consciousness (Grinde, 2018). In order to contextualize our discussion, we advance a brief evolutionary perspective on why psychedelics exist in nature and why humans/animals avoid or consume them. We then discuss </w:t>
      </w:r>
      <w:r w:rsidR="008E69BF">
        <w:rPr>
          <w:rStyle w:val="None"/>
        </w:rPr>
        <w:t>prominent</w:t>
      </w:r>
      <w:r w:rsidRPr="006C2DA7">
        <w:rPr>
          <w:rStyle w:val="None"/>
        </w:rPr>
        <w:t xml:space="preserve"> mental effects of psychedelics</w:t>
      </w:r>
      <w:r w:rsidR="008E69BF">
        <w:rPr>
          <w:rStyle w:val="None"/>
        </w:rPr>
        <w:t xml:space="preserve"> </w:t>
      </w:r>
      <w:r w:rsidRPr="006C2DA7">
        <w:rPr>
          <w:rStyle w:val="None"/>
        </w:rPr>
        <w:t>and what is known about their neuronal correlates in the context of the model of consciousness</w:t>
      </w:r>
      <w:r w:rsidR="008E69BF">
        <w:rPr>
          <w:rStyle w:val="None"/>
        </w:rPr>
        <w:t xml:space="preserve"> we advance</w:t>
      </w:r>
      <w:r w:rsidRPr="006C2DA7">
        <w:rPr>
          <w:rStyle w:val="None"/>
        </w:rPr>
        <w:t>. Finally, we comment on potential benefits of psychedelics for the study of consciousness and for improving mental health.</w:t>
      </w:r>
    </w:p>
    <w:p w:rsidR="001000A3" w:rsidRPr="006C2DA7" w:rsidRDefault="001000A3" w:rsidP="006C2DA7">
      <w:pPr>
        <w:pStyle w:val="Brdtekst"/>
        <w:tabs>
          <w:tab w:val="left" w:pos="426"/>
        </w:tabs>
        <w:spacing w:line="360" w:lineRule="auto"/>
        <w:ind w:right="421" w:firstLine="426"/>
        <w:rPr>
          <w:rStyle w:val="None"/>
        </w:rPr>
      </w:pPr>
    </w:p>
    <w:p w:rsidR="001000A3" w:rsidRPr="006C2DA7" w:rsidRDefault="00462402" w:rsidP="00207C3D">
      <w:pPr>
        <w:pStyle w:val="Heading"/>
        <w:tabs>
          <w:tab w:val="left" w:pos="426"/>
        </w:tabs>
        <w:ind w:left="0" w:right="371" w:firstLine="426"/>
        <w:rPr>
          <w:rStyle w:val="None"/>
          <w:rFonts w:ascii="Times New Roman" w:hAnsi="Times New Roman" w:cs="Times New Roman"/>
          <w:b w:val="0"/>
          <w:bCs w:val="0"/>
          <w:sz w:val="24"/>
          <w:szCs w:val="24"/>
        </w:rPr>
      </w:pPr>
      <w:r w:rsidRPr="006C2DA7">
        <w:rPr>
          <w:rStyle w:val="None"/>
        </w:rPr>
        <w:t>Background</w:t>
      </w:r>
    </w:p>
    <w:p w:rsidR="001000A3" w:rsidRPr="006C2DA7" w:rsidRDefault="001000A3" w:rsidP="00207C3D">
      <w:pPr>
        <w:pStyle w:val="Brdtekst"/>
        <w:tabs>
          <w:tab w:val="left" w:pos="426"/>
        </w:tabs>
        <w:spacing w:line="360" w:lineRule="auto"/>
        <w:ind w:right="371" w:firstLine="426"/>
        <w:jc w:val="center"/>
        <w:rPr>
          <w:rStyle w:val="None"/>
          <w:rFonts w:ascii="Arial" w:eastAsia="Arial Unicode MS" w:hAnsi="Arial" w:cs="Arial Unicode MS"/>
          <w:b/>
          <w:bCs/>
          <w:sz w:val="32"/>
          <w:szCs w:val="32"/>
        </w:rPr>
      </w:pPr>
    </w:p>
    <w:p w:rsidR="001000A3" w:rsidRPr="006C2DA7" w:rsidRDefault="00462402" w:rsidP="00207C3D">
      <w:pPr>
        <w:pStyle w:val="Brdtekst"/>
        <w:tabs>
          <w:tab w:val="left" w:pos="426"/>
        </w:tabs>
        <w:spacing w:line="360" w:lineRule="auto"/>
        <w:ind w:right="371" w:firstLine="426"/>
        <w:jc w:val="center"/>
        <w:rPr>
          <w:b/>
          <w:bCs/>
        </w:rPr>
      </w:pPr>
      <w:r w:rsidRPr="006C2DA7">
        <w:rPr>
          <w:b/>
          <w:bCs/>
        </w:rPr>
        <w:t>A Model of Consciousness</w:t>
      </w:r>
    </w:p>
    <w:p w:rsidR="001000A3" w:rsidRPr="006C2DA7" w:rsidRDefault="001000A3" w:rsidP="006C2DA7">
      <w:pPr>
        <w:pStyle w:val="Brdtekst"/>
        <w:tabs>
          <w:tab w:val="left" w:pos="426"/>
        </w:tabs>
        <w:spacing w:line="360" w:lineRule="auto"/>
        <w:ind w:right="421" w:firstLine="426"/>
        <w:rPr>
          <w:rStyle w:val="None"/>
        </w:rPr>
      </w:pP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According to the </w:t>
      </w:r>
      <w:r w:rsidRPr="006C2DA7">
        <w:t>global neuronal workspace theory</w:t>
      </w:r>
      <w:r w:rsidRPr="006C2DA7">
        <w:rPr>
          <w:rStyle w:val="None"/>
        </w:rPr>
        <w:t xml:space="preserve">, conscious perception relies on a continuous and complex back-and-forth signaling in wide-ranging neural circuits within the </w:t>
      </w:r>
      <w:r w:rsidRPr="006C2DA7">
        <w:rPr>
          <w:rStyle w:val="None"/>
          <w:i/>
          <w:iCs/>
        </w:rPr>
        <w:t>corticothalamic complex</w:t>
      </w:r>
      <w:r w:rsidRPr="006C2DA7">
        <w:rPr>
          <w:rStyle w:val="None"/>
        </w:rPr>
        <w:t xml:space="preserve"> (Dehaene, 2014). This complex, which includes basal ganglia, claustrum, thalamus, and the cortices, is here referred to as the </w:t>
      </w:r>
      <w:r w:rsidRPr="006C2DA7">
        <w:rPr>
          <w:rStyle w:val="None"/>
          <w:i/>
          <w:iCs/>
        </w:rPr>
        <w:t>workspace</w:t>
      </w:r>
      <w:r w:rsidRPr="006C2DA7">
        <w:rPr>
          <w:rStyle w:val="None"/>
        </w:rPr>
        <w:t>. Even in the absence of awareness, continuous more-or-less synchronized activity occurs within these circuits, but a sentient experience implies a distinct perturbation of the signaling in which rapid and unpredictable neuron</w:t>
      </w:r>
      <w:r w:rsidR="009D4430">
        <w:rPr>
          <w:rStyle w:val="None"/>
        </w:rPr>
        <w:t>al activity is superimposed on the</w:t>
      </w:r>
      <w:r w:rsidRPr="006C2DA7">
        <w:rPr>
          <w:rStyle w:val="None"/>
        </w:rPr>
        <w:t xml:space="preserve"> synchronized, slow-wave resting state.</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A moment of conscious experience presumably reflects increased activity in a particular (but probably vast) subset of the 20 billion neurons of the brain that reside outside the cerebellum. As the brain constantly creates new experiences, the subset of neurons in the workspace shifts continuously. In EEG studies, slow but strongly synchronized activity (delta and theta bands of high amplitude) is associated with the absence of conscious processing, as in the case of non-REM sleep; whereas the less synchronized, high frequency signaling (beta or gamma bands of low amplitude) presumably reflects the activity associated with conscious "broadcasting" in the workspace </w:t>
      </w:r>
      <w:r w:rsidRPr="006C2DA7">
        <w:t>(Butler, 2012)</w:t>
      </w:r>
      <w:r w:rsidRPr="006C2DA7">
        <w:rPr>
          <w:rStyle w:val="None"/>
        </w:rPr>
        <w:t>. REM sleep displays high frequency signaling and might be described as "broadcasting without anyone listening." There are similar EEG patterns in other mammals, and they are considered a marker of consciousness (Seth, Baars, &amp; Edelman, 2005). Some scholars consider sleep, particularly REM sleep, to reflect a form of consciousness. We prefer the view represented by the medical tradition, which requires a person to be able to "accurately report" (e.g., in response to queries about a sensation or experience) in order to be considered conscious (Seth,</w:t>
      </w:r>
      <w:r w:rsidRPr="006C2DA7">
        <w:t xml:space="preserve"> Baars, &amp; Edelman,</w:t>
      </w:r>
      <w:r w:rsidRPr="006C2DA7">
        <w:rPr>
          <w:rStyle w:val="None"/>
        </w:rPr>
        <w:t xml:space="preserve"> 2005).</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The observation that consciousness is regularly turned on or off on a diurnal basis implies the existence of a neuronal "switch." In fact, circuits in the reticular activating system of the brain stem contribute to activating or dampening arousal (Edlow et al., 2012; Steriade, 1996). Another, perhaps more consciousness specific, switch appears to reside in the intralaminar nuclei of the thalamus (Saalmann, 2014; Schiff, 2009).</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The capacity for consciousness is one of many functions that evolution has added to the brain (Grinde, 2018). Activity that is not brought to conscious awareness can be referred to as </w:t>
      </w:r>
      <w:r w:rsidRPr="006C2DA7">
        <w:rPr>
          <w:rStyle w:val="None"/>
          <w:i/>
          <w:iCs/>
        </w:rPr>
        <w:t>unconscious</w:t>
      </w:r>
      <w:r w:rsidRPr="006C2DA7">
        <w:rPr>
          <w:rStyle w:val="None"/>
        </w:rPr>
        <w:t xml:space="preserve">, whereas the term </w:t>
      </w:r>
      <w:r w:rsidRPr="006C2DA7">
        <w:rPr>
          <w:rStyle w:val="None"/>
          <w:i/>
          <w:iCs/>
        </w:rPr>
        <w:t>subconscious</w:t>
      </w:r>
      <w:r w:rsidRPr="006C2DA7">
        <w:rPr>
          <w:rStyle w:val="None"/>
        </w:rPr>
        <w:t xml:space="preserve"> may be used for the indistinct boundary between the conscious and the unconscious. Subconscious activity is reflected in the way desired information can suddenly pop up in the mind, in the phenomenon referred to as intuition, and in demonstrations of subliminal perception (Dehaene, 2014). Young (2018) has suggested that roughly 95 % of the activity in the brain is unconscious.</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Evolution added a wide range of functions, here referred to as modules, to the brain in order to promote survival and reproduction (Grinde, 2016; Nesse, 2000). Although the modules may rely on particular regions of the brain, they reflect activity in large and overlapping neuronal circuits. The conscious (awake) life, as experienced by a human, can be construed as a </w:t>
      </w:r>
      <w:r w:rsidRPr="006C2DA7">
        <w:t>"</w:t>
      </w:r>
      <w:r w:rsidRPr="006C2DA7">
        <w:rPr>
          <w:rStyle w:val="None"/>
        </w:rPr>
        <w:t>consciousness module," which is typically turned on in the morning and off again at night.</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The brain adds content to conscious experiences on a "need-to-know basis." In humans, the content may be subdivided into: (1) information from external and internal sense organs; (2) feelings/emotions; and (3) other internally generated content such as thoughts, imagination, and memories. Evolution introduced additional modules in the brain for each type of input to conscious experience, for example, a module for visual experiences, which can be subdivided into modules for adding color, movement, and contour. The process of generating conscious perception</w:t>
      </w:r>
      <w:r w:rsidR="006C2DA7" w:rsidRPr="006C2DA7">
        <w:rPr>
          <w:rStyle w:val="None"/>
        </w:rPr>
        <w:t xml:space="preserve"> starts</w:t>
      </w:r>
      <w:r w:rsidRPr="006C2DA7">
        <w:rPr>
          <w:rStyle w:val="None"/>
        </w:rPr>
        <w:t xml:space="preserve"> by filtering and adapting information in the unconscious brain. The various modules subsequently "compete" for the opportunity to broadcast their contribution in the workspace (Koch, 2012). Which contributions will be included</w:t>
      </w:r>
      <w:r w:rsidR="009D4430">
        <w:rPr>
          <w:rStyle w:val="None"/>
        </w:rPr>
        <w:t>,</w:t>
      </w:r>
      <w:r w:rsidRPr="006C2DA7">
        <w:rPr>
          <w:rStyle w:val="None"/>
        </w:rPr>
        <w:t xml:space="preserve"> depend partly on unconscious processes and partly on conscious choice. For example, a person can decide to turn her head towards whatever she wishes to see, but she cannot easily turn off sounds reaching her ear.</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Th</w:t>
      </w:r>
      <w:r w:rsidR="007A0911">
        <w:rPr>
          <w:rStyle w:val="None"/>
        </w:rPr>
        <w:t>is account c</w:t>
      </w:r>
      <w:r w:rsidRPr="006C2DA7">
        <w:rPr>
          <w:rStyle w:val="None"/>
        </w:rPr>
        <w:t xml:space="preserve">an be </w:t>
      </w:r>
      <w:r w:rsidR="007A0911">
        <w:rPr>
          <w:rStyle w:val="None"/>
        </w:rPr>
        <w:t xml:space="preserve">analogized or </w:t>
      </w:r>
      <w:r w:rsidRPr="006C2DA7">
        <w:rPr>
          <w:rStyle w:val="None"/>
        </w:rPr>
        <w:t>visualized as the conscious experience being the surface on a sea of brain activity. Content rises from the deeper waters in the form of "bubbles" that, if they go all the way up, fuse together to form a unified, surface structure. The surface represents a moment of experience and includes all the elements that reached consciousness at that particular time. The bubbles, which constitute conscious content, are formed by modules operating in the unconscious sea of brain activity. They typically need 300 ms to reach the surface (Dehaene, 2014); starting, for example, when a visual image reaches the eye and ending when the image is presented to the perceiver. The time delay allows for the necessary processing</w:t>
      </w:r>
      <w:r w:rsidR="00523340">
        <w:rPr>
          <w:rStyle w:val="None"/>
        </w:rPr>
        <w:t xml:space="preserve">, which </w:t>
      </w:r>
      <w:r w:rsidRPr="006C2DA7">
        <w:rPr>
          <w:rStyle w:val="None"/>
        </w:rPr>
        <w:t xml:space="preserve">reflects not only a selection of input, but also modifications and distortions of reality (Dehaene, 2014). The evolutionary rationale is not to create a high fidelity "film of life," but to present information in a way that optimizes conscious decision making for adaptive purposes. </w:t>
      </w:r>
      <w:r w:rsidR="009D4430">
        <w:rPr>
          <w:rStyle w:val="None"/>
        </w:rPr>
        <w:t>Abbott (2018)</w:t>
      </w:r>
      <w:r w:rsidR="009D4430" w:rsidRPr="006C2DA7">
        <w:rPr>
          <w:rStyle w:val="None"/>
        </w:rPr>
        <w:t xml:space="preserve"> </w:t>
      </w:r>
      <w:r w:rsidRPr="006C2DA7">
        <w:rPr>
          <w:rStyle w:val="None"/>
        </w:rPr>
        <w:t xml:space="preserve">has referred to </w:t>
      </w:r>
      <w:r w:rsidR="009D4430">
        <w:rPr>
          <w:rStyle w:val="None"/>
        </w:rPr>
        <w:t xml:space="preserve">the brain </w:t>
      </w:r>
      <w:r w:rsidRPr="006C2DA7">
        <w:rPr>
          <w:rStyle w:val="None"/>
        </w:rPr>
        <w:t>as a "hallucinating engine" due to i</w:t>
      </w:r>
      <w:r w:rsidR="009D4430">
        <w:rPr>
          <w:rStyle w:val="None"/>
        </w:rPr>
        <w:t xml:space="preserve">ts capacity to distort reality, </w:t>
      </w:r>
      <w:r w:rsidRPr="006C2DA7">
        <w:rPr>
          <w:rStyle w:val="None"/>
        </w:rPr>
        <w:t>normally without the individual being aware of any distortion.</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Evolution likely added feelings in order to improve the capacity for making behavioral choices (Grinde, 2018). The term feelings</w:t>
      </w:r>
      <w:r w:rsidR="00523340">
        <w:rPr>
          <w:rStyle w:val="None"/>
        </w:rPr>
        <w:t xml:space="preserve"> </w:t>
      </w:r>
      <w:r w:rsidRPr="006C2DA7">
        <w:rPr>
          <w:rStyle w:val="None"/>
        </w:rPr>
        <w:t>in this context</w:t>
      </w:r>
      <w:r w:rsidR="00523340">
        <w:rPr>
          <w:rStyle w:val="None"/>
        </w:rPr>
        <w:t xml:space="preserve"> </w:t>
      </w:r>
      <w:r w:rsidR="007A0911">
        <w:rPr>
          <w:rStyle w:val="None"/>
        </w:rPr>
        <w:t>encompasses</w:t>
      </w:r>
      <w:r w:rsidRPr="006C2DA7">
        <w:rPr>
          <w:rStyle w:val="None"/>
        </w:rPr>
        <w:t xml:space="preserve"> any emotion or sensation that carries an element of being pleasant or unpleasant. The positive and negative aspects of feelings are meant to guide behavior </w:t>
      </w:r>
      <w:r w:rsidRPr="009D4430">
        <w:rPr>
          <w:rStyle w:val="None"/>
          <w:i/>
        </w:rPr>
        <w:t>toward</w:t>
      </w:r>
      <w:r w:rsidRPr="006C2DA7">
        <w:rPr>
          <w:rStyle w:val="None"/>
        </w:rPr>
        <w:t xml:space="preserve"> what is good for the genes (i.e., optimizes probability of survival) and </w:t>
      </w:r>
      <w:r w:rsidRPr="009D4430">
        <w:rPr>
          <w:rStyle w:val="None"/>
          <w:i/>
        </w:rPr>
        <w:t>away from</w:t>
      </w:r>
      <w:r w:rsidRPr="006C2DA7">
        <w:rPr>
          <w:rStyle w:val="None"/>
        </w:rPr>
        <w:t xml:space="preserve"> what is detrimental. For example, movement is incentivized toward a source of food and away from predators. It seems likely that feelings (in the present meaning) first evolved with the amniotes (reptiles, birds and mammals) (Grinde, 2018).</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The positive and negative elements of feelings can be described </w:t>
      </w:r>
      <w:r w:rsidR="007A0911">
        <w:rPr>
          <w:rStyle w:val="None"/>
        </w:rPr>
        <w:t>in terms of</w:t>
      </w:r>
      <w:r w:rsidRPr="006C2DA7">
        <w:rPr>
          <w:rStyle w:val="None"/>
        </w:rPr>
        <w:t xml:space="preserve"> three di</w:t>
      </w:r>
      <w:r w:rsidR="0003767B">
        <w:rPr>
          <w:rStyle w:val="None"/>
        </w:rPr>
        <w:t xml:space="preserve">stinct </w:t>
      </w:r>
      <w:r w:rsidRPr="006C2DA7">
        <w:rPr>
          <w:rStyle w:val="None"/>
        </w:rPr>
        <w:t xml:space="preserve">mood modules (Berridge &amp; Kringelbach, 2015; Grinde, 2012a; Leknes &amp; Tracey, 2008): Negative feelings rely on a single "pain," or unpleasant module; that is, whether it is relevant to social punishment (such as guilt) or </w:t>
      </w:r>
      <w:r w:rsidR="0003767B">
        <w:rPr>
          <w:rStyle w:val="None"/>
        </w:rPr>
        <w:t xml:space="preserve">to </w:t>
      </w:r>
      <w:r w:rsidRPr="006C2DA7">
        <w:rPr>
          <w:rStyle w:val="None"/>
        </w:rPr>
        <w:t xml:space="preserve">physical injury, the same neurological circuits deliver the negative component of the experience. The reward system, on the other hand, is divided into a </w:t>
      </w:r>
      <w:r w:rsidRPr="006C2DA7">
        <w:rPr>
          <w:rStyle w:val="None"/>
          <w:i/>
          <w:iCs/>
        </w:rPr>
        <w:t>seeking</w:t>
      </w:r>
      <w:r w:rsidRPr="006C2DA7">
        <w:rPr>
          <w:rStyle w:val="None"/>
        </w:rPr>
        <w:t xml:space="preserve"> (or wanting) module, which is meant to stimulate the individual to seek opportunities and motivate action, and a </w:t>
      </w:r>
      <w:r w:rsidRPr="006C2DA7">
        <w:rPr>
          <w:rStyle w:val="None"/>
          <w:i/>
          <w:iCs/>
        </w:rPr>
        <w:t>liking</w:t>
      </w:r>
      <w:r w:rsidRPr="006C2DA7">
        <w:rPr>
          <w:rStyle w:val="None"/>
        </w:rPr>
        <w:t xml:space="preserve"> module, which ensures th</w:t>
      </w:r>
      <w:r w:rsidR="0003767B">
        <w:rPr>
          <w:rStyle w:val="None"/>
        </w:rPr>
        <w:t>at</w:t>
      </w:r>
      <w:r w:rsidRPr="006C2DA7">
        <w:rPr>
          <w:rStyle w:val="None"/>
        </w:rPr>
        <w:t xml:space="preserve"> opportunities are consumed or utilized once present. The two modules are illustrated by the example of following the smell of a bakery and eating a cake</w:t>
      </w:r>
      <w:r w:rsidR="001212A6">
        <w:rPr>
          <w:rStyle w:val="None"/>
        </w:rPr>
        <w:t>, respectively</w:t>
      </w:r>
      <w:r w:rsidRPr="006C2DA7">
        <w:rPr>
          <w:rStyle w:val="None"/>
        </w:rPr>
        <w:t>. The above classification reflects both evolutionary theory and present knowledge regarding the underlying neurobiology.</w:t>
      </w:r>
      <w:r w:rsidR="001212A6">
        <w:rPr>
          <w:rStyle w:val="None"/>
        </w:rPr>
        <w:t xml:space="preserve">  </w:t>
      </w:r>
      <w:r w:rsidRPr="006C2DA7">
        <w:rPr>
          <w:rStyle w:val="None"/>
        </w:rPr>
        <w:t>The primary function of feelings is to influence the organism, not vice versa</w:t>
      </w:r>
      <w:r w:rsidR="001212A6">
        <w:rPr>
          <w:rStyle w:val="None"/>
        </w:rPr>
        <w:t>, which explains</w:t>
      </w:r>
      <w:r w:rsidRPr="006C2DA7">
        <w:rPr>
          <w:rStyle w:val="None"/>
        </w:rPr>
        <w:t xml:space="preserve"> why experiences like pain or fear are not easily turned off by sheer willpower</w:t>
      </w:r>
      <w:r w:rsidR="00523340">
        <w:rPr>
          <w:rStyle w:val="None"/>
        </w:rPr>
        <w:t xml:space="preserve"> </w:t>
      </w:r>
      <w:r w:rsidRPr="006C2DA7">
        <w:rPr>
          <w:rStyle w:val="None"/>
        </w:rPr>
        <w:t xml:space="preserve">and why </w:t>
      </w:r>
      <w:r w:rsidR="009D4430">
        <w:rPr>
          <w:rStyle w:val="None"/>
        </w:rPr>
        <w:t>feelings</w:t>
      </w:r>
      <w:r w:rsidRPr="006C2DA7">
        <w:rPr>
          <w:rStyle w:val="None"/>
        </w:rPr>
        <w:t xml:space="preserve"> can inf</w:t>
      </w:r>
      <w:r w:rsidR="009D4430">
        <w:rPr>
          <w:rStyle w:val="None"/>
        </w:rPr>
        <w:t>luence decisions even when they</w:t>
      </w:r>
      <w:r w:rsidRPr="006C2DA7">
        <w:rPr>
          <w:rStyle w:val="None"/>
        </w:rPr>
        <w:t xml:space="preserve"> </w:t>
      </w:r>
      <w:r w:rsidR="009D4430">
        <w:rPr>
          <w:rStyle w:val="None"/>
        </w:rPr>
        <w:t>are</w:t>
      </w:r>
      <w:r w:rsidRPr="006C2DA7">
        <w:rPr>
          <w:rStyle w:val="None"/>
        </w:rPr>
        <w:t xml:space="preserve"> not </w:t>
      </w:r>
      <w:r w:rsidR="00AF69AF">
        <w:rPr>
          <w:rStyle w:val="None"/>
        </w:rPr>
        <w:t>recognized</w:t>
      </w:r>
      <w:r w:rsidRPr="006C2DA7">
        <w:rPr>
          <w:rStyle w:val="None"/>
        </w:rPr>
        <w:t xml:space="preserve"> </w:t>
      </w:r>
      <w:r w:rsidR="001212A6">
        <w:rPr>
          <w:rStyle w:val="None"/>
        </w:rPr>
        <w:t>on a</w:t>
      </w:r>
      <w:r w:rsidRPr="006C2DA7">
        <w:rPr>
          <w:rStyle w:val="None"/>
        </w:rPr>
        <w:t xml:space="preserve"> conscious </w:t>
      </w:r>
      <w:r w:rsidR="001212A6">
        <w:rPr>
          <w:rStyle w:val="None"/>
        </w:rPr>
        <w:t>basis</w:t>
      </w:r>
      <w:r w:rsidRPr="006C2DA7">
        <w:rPr>
          <w:rStyle w:val="None"/>
        </w:rPr>
        <w:t xml:space="preserve"> (Tamietto &amp; de Gelder, 2010).</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To summarize, a conscious experience is based on at least two levels of brain activity.  Unconscious activity prepares possible information for awareness followed by the actual broadcasting of select information. Both activities rely on neurotransmitter signaling and are subject to the influence of psychotropics.</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The explanatory model of the effect of classical psychedelics on consciousness referred to as REBUS (relaxed beliefs under psychedelics) complements the present account (Carhart-Harris &amp; Friston, 2019). This model is built on two theoretical interpretations regarding how the brain functions adaptively. The first is the </w:t>
      </w:r>
      <w:r w:rsidRPr="006C2DA7">
        <w:rPr>
          <w:rStyle w:val="None"/>
          <w:i/>
          <w:iCs/>
        </w:rPr>
        <w:t>free-energy principle</w:t>
      </w:r>
      <w:r w:rsidRPr="006C2DA7">
        <w:rPr>
          <w:rStyle w:val="None"/>
        </w:rPr>
        <w:t xml:space="preserve">, which is an attempt to describe the behavior of living systems in general. In short, living organisms are designed to resist disorder and minimize uncertainty to accomplish valued, positively valenced, and survival-oriented goals. The second, and somewhat related, </w:t>
      </w:r>
      <w:r w:rsidRPr="006C2DA7">
        <w:rPr>
          <w:rStyle w:val="None"/>
          <w:i/>
          <w:iCs/>
        </w:rPr>
        <w:t>entropic brain hypothesis</w:t>
      </w:r>
      <w:r w:rsidRPr="006C2DA7">
        <w:rPr>
          <w:rStyle w:val="None"/>
        </w:rPr>
        <w:t>, proposes that within a relevant boundary, the entropy of spontaneous brain activity reflects the richness of subjective experience.</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According to this view, psychedelics acutely increase the overall entropy of brain activity, an effect the user describes as enhanced diversity and vividness of experiences. The change is proposed to reflect the increase in signal complexity, also referred to as desynchronization, which is typical for classical psychedelics (Muthukumaraswamy et al., 2013; Swanson, 2018). In other words, the increase in entropy of spontaneous brain activity is experienced as hallucinations and altered cognition. As the desynchronization can be measured (for example, by EEG or magnetoencephalography), it is possible to investigate how it correlates with actual experience</w:t>
      </w:r>
      <w:r w:rsidR="00996B1D">
        <w:rPr>
          <w:rStyle w:val="None"/>
        </w:rPr>
        <w:t>s</w:t>
      </w:r>
      <w:r w:rsidRPr="006C2DA7">
        <w:rPr>
          <w:rStyle w:val="None"/>
        </w:rPr>
        <w:t xml:space="preserve"> during different types of altered consciousness. The REBUS model thus offers a neurological explanation for the effect of classical psychedelics based on level and openness of signaling.</w:t>
      </w:r>
    </w:p>
    <w:p w:rsidR="001000A3" w:rsidRPr="006C2DA7" w:rsidRDefault="001000A3" w:rsidP="006C2DA7">
      <w:pPr>
        <w:pStyle w:val="Brdtekst"/>
        <w:tabs>
          <w:tab w:val="left" w:pos="426"/>
        </w:tabs>
        <w:spacing w:line="360" w:lineRule="auto"/>
        <w:ind w:right="421" w:firstLine="426"/>
        <w:rPr>
          <w:rStyle w:val="None"/>
        </w:rPr>
      </w:pPr>
    </w:p>
    <w:p w:rsidR="001000A3" w:rsidRPr="006C2DA7" w:rsidRDefault="00462402" w:rsidP="006C2DA7">
      <w:pPr>
        <w:pStyle w:val="Brdtekst"/>
        <w:tabs>
          <w:tab w:val="left" w:pos="426"/>
        </w:tabs>
        <w:spacing w:line="360" w:lineRule="auto"/>
        <w:ind w:right="421" w:firstLine="426"/>
        <w:jc w:val="center"/>
        <w:rPr>
          <w:b/>
          <w:bCs/>
        </w:rPr>
      </w:pPr>
      <w:r w:rsidRPr="006C2DA7">
        <w:rPr>
          <w:b/>
          <w:bCs/>
        </w:rPr>
        <w:t>Evolutionary Perspectives on the Use of Psychedelics</w:t>
      </w:r>
    </w:p>
    <w:p w:rsidR="001000A3" w:rsidRPr="006C2DA7" w:rsidRDefault="001000A3" w:rsidP="006C2DA7">
      <w:pPr>
        <w:pStyle w:val="Brdtekst"/>
        <w:tabs>
          <w:tab w:val="left" w:pos="426"/>
        </w:tabs>
        <w:spacing w:line="360" w:lineRule="auto"/>
        <w:ind w:right="421" w:firstLine="426"/>
        <w:rPr>
          <w:rStyle w:val="None"/>
        </w:rPr>
      </w:pPr>
    </w:p>
    <w:p w:rsidR="001000A3" w:rsidRPr="006C2DA7" w:rsidRDefault="00462402" w:rsidP="006C2DA7">
      <w:pPr>
        <w:pStyle w:val="Brdtekst"/>
        <w:tabs>
          <w:tab w:val="left" w:pos="426"/>
        </w:tabs>
        <w:spacing w:line="360" w:lineRule="auto"/>
        <w:ind w:right="421" w:firstLine="426"/>
        <w:rPr>
          <w:rStyle w:val="None"/>
        </w:rPr>
      </w:pPr>
      <w:r w:rsidRPr="006C2DA7">
        <w:rPr>
          <w:rStyle w:val="None"/>
        </w:rPr>
        <w:t>The recorded use of plants and mushrooms containing psychoactive substances dates back thousands of years (Merlin, 2003). The</w:t>
      </w:r>
      <w:r w:rsidR="009F3908">
        <w:rPr>
          <w:rStyle w:val="None"/>
        </w:rPr>
        <w:t xml:space="preserve"> substances can be divided into two categories based on the</w:t>
      </w:r>
      <w:r w:rsidRPr="006C2DA7">
        <w:rPr>
          <w:rStyle w:val="None"/>
        </w:rPr>
        <w:t xml:space="preserve"> motivation to consume</w:t>
      </w:r>
      <w:r w:rsidR="00F75475">
        <w:rPr>
          <w:rStyle w:val="None"/>
        </w:rPr>
        <w:t xml:space="preserve"> them</w:t>
      </w:r>
      <w:r w:rsidRPr="006C2DA7">
        <w:rPr>
          <w:rStyle w:val="None"/>
        </w:rPr>
        <w:t>: (1) substances that directly activate brain reward circuits and thus promote positive feelings and (2) substances that activate the rewards in an indirect way, for example, by enhancing positive qualities of sensory percepts, by stimulating inquisitiveness, engaging spiritual feelings, or offering perceived insights. The first category seems to be relevant for all mammals (Siegel, 2005). The second category may not be unique to humans, but in our species evolution coupled brain rewards to a range of situations that animals likely care less about, such as spiritual pursuits and cognitive exploration (Grinde, 2012b).</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Although a certain bias exists in our knowledge of psychotropics in that we tend to focus on substances that produce desirable experiences, this bias is not necessarily problematic. Any </w:t>
      </w:r>
      <w:r w:rsidR="0080567A">
        <w:rPr>
          <w:rStyle w:val="None"/>
        </w:rPr>
        <w:t xml:space="preserve">appreciable </w:t>
      </w:r>
      <w:r w:rsidRPr="006C2DA7">
        <w:rPr>
          <w:rStyle w:val="None"/>
        </w:rPr>
        <w:t xml:space="preserve">transformation of conscious experience can stimulate curiosity and thereby elicit rewards. </w:t>
      </w:r>
      <w:r w:rsidR="00AA36EB">
        <w:rPr>
          <w:rStyle w:val="None"/>
        </w:rPr>
        <w:t>Consequently, at</w:t>
      </w:r>
      <w:r w:rsidRPr="006C2DA7">
        <w:rPr>
          <w:rStyle w:val="None"/>
        </w:rPr>
        <w:t xml:space="preserve"> least some people are likely to experiment with a consciousness altering substance as long as </w:t>
      </w:r>
      <w:r w:rsidR="0080567A">
        <w:rPr>
          <w:rStyle w:val="None"/>
        </w:rPr>
        <w:t xml:space="preserve">associated </w:t>
      </w:r>
      <w:r w:rsidRPr="006C2DA7">
        <w:rPr>
          <w:rStyle w:val="None"/>
        </w:rPr>
        <w:t>negative effects, such as nausea and anxiety, are not overwhelming.</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Most psychotropics act by affecting (mimicking) neurotransmitters. More or less all animals with a nervous system use a set of key neurotransmitters, which includes the main neurotransmitters relevant for the present discussion: the monoamines (e.g., serotonin, dopamine, and norepinephrine), acetylcholine, glutamate, GABA, and endorphins (Chase &amp; Koelle, 2007; Dyakonova, 2001; Fieber, 2019). The presence of psychedelics in plants that are desirable to humans</w:t>
      </w:r>
      <w:r w:rsidR="006C2DA7" w:rsidRPr="006C2DA7">
        <w:rPr>
          <w:rStyle w:val="None"/>
        </w:rPr>
        <w:t xml:space="preserve"> </w:t>
      </w:r>
      <w:r w:rsidRPr="006C2DA7">
        <w:rPr>
          <w:rStyle w:val="None"/>
        </w:rPr>
        <w:t>may be due to these substances exerting an undesirable, and thus foraging deterring, effect on the nervous system of other vertebrate or invertebrate animals (Reynolds et al., 2018).</w:t>
      </w:r>
    </w:p>
    <w:p w:rsidR="001000A3" w:rsidRPr="006C2DA7" w:rsidRDefault="001000A3" w:rsidP="00207C3D">
      <w:pPr>
        <w:pStyle w:val="Brdtekst"/>
        <w:tabs>
          <w:tab w:val="left" w:pos="426"/>
        </w:tabs>
        <w:spacing w:line="360" w:lineRule="auto"/>
        <w:ind w:right="421" w:firstLine="426"/>
        <w:jc w:val="center"/>
        <w:rPr>
          <w:rStyle w:val="None"/>
        </w:rPr>
      </w:pPr>
    </w:p>
    <w:p w:rsidR="001000A3" w:rsidRPr="006C2DA7" w:rsidRDefault="00462402" w:rsidP="00207C3D">
      <w:pPr>
        <w:pStyle w:val="Heading"/>
        <w:tabs>
          <w:tab w:val="left" w:pos="426"/>
        </w:tabs>
        <w:ind w:left="0" w:right="421" w:firstLine="426"/>
        <w:rPr>
          <w:rStyle w:val="None"/>
          <w:rFonts w:ascii="Times New Roman" w:hAnsi="Times New Roman" w:cs="Times New Roman"/>
          <w:b w:val="0"/>
          <w:bCs w:val="0"/>
          <w:sz w:val="24"/>
          <w:szCs w:val="24"/>
        </w:rPr>
      </w:pPr>
      <w:r w:rsidRPr="006C2DA7">
        <w:rPr>
          <w:rStyle w:val="None"/>
        </w:rPr>
        <w:t>Mental and Neurobiological Effects</w:t>
      </w:r>
    </w:p>
    <w:p w:rsidR="001000A3" w:rsidRPr="006C2DA7" w:rsidRDefault="001000A3" w:rsidP="00207C3D">
      <w:pPr>
        <w:pStyle w:val="Brdtekst"/>
        <w:tabs>
          <w:tab w:val="left" w:pos="426"/>
        </w:tabs>
        <w:spacing w:line="360" w:lineRule="auto"/>
        <w:ind w:right="421" w:firstLine="426"/>
        <w:jc w:val="center"/>
        <w:rPr>
          <w:rStyle w:val="None"/>
          <w:rFonts w:ascii="Arial" w:eastAsia="Arial Unicode MS" w:hAnsi="Arial" w:cs="Arial Unicode MS"/>
          <w:b/>
          <w:bCs/>
          <w:sz w:val="32"/>
          <w:szCs w:val="32"/>
        </w:rPr>
      </w:pPr>
    </w:p>
    <w:p w:rsidR="001000A3" w:rsidRPr="006C2DA7" w:rsidRDefault="00462402" w:rsidP="00207C3D">
      <w:pPr>
        <w:pStyle w:val="Brdtekst"/>
        <w:tabs>
          <w:tab w:val="left" w:pos="426"/>
        </w:tabs>
        <w:spacing w:line="360" w:lineRule="auto"/>
        <w:ind w:right="421" w:firstLine="426"/>
        <w:jc w:val="center"/>
        <w:rPr>
          <w:b/>
          <w:bCs/>
        </w:rPr>
      </w:pPr>
      <w:r w:rsidRPr="006C2DA7">
        <w:rPr>
          <w:b/>
          <w:bCs/>
        </w:rPr>
        <w:t>General Comments</w:t>
      </w:r>
    </w:p>
    <w:p w:rsidR="001000A3" w:rsidRPr="006C2DA7" w:rsidRDefault="001000A3" w:rsidP="00207C3D">
      <w:pPr>
        <w:pStyle w:val="Brdtekst"/>
        <w:tabs>
          <w:tab w:val="left" w:pos="426"/>
        </w:tabs>
        <w:spacing w:line="360" w:lineRule="auto"/>
        <w:ind w:right="421" w:firstLine="426"/>
        <w:rPr>
          <w:rStyle w:val="None"/>
        </w:rPr>
      </w:pP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The neurotransmitters that psychedelics resemble encompass a wide range of neuronal functions in both central and peripheral nervous systems. Many different proteins regulate their actions, including synaptic receptors, as well as proteins involved in reuptake, metabolism, and release of neurotransmitters. The genome typically codes for several subtypes of proteins for each of these functions. By binding to select proteins associated with a particular neurotransmitter, the psychedelics </w:t>
      </w:r>
      <w:r w:rsidR="0080567A">
        <w:rPr>
          <w:rStyle w:val="None"/>
        </w:rPr>
        <w:t>are afforded</w:t>
      </w:r>
      <w:r w:rsidRPr="006C2DA7">
        <w:rPr>
          <w:rStyle w:val="None"/>
        </w:rPr>
        <w:t xml:space="preserve"> a degree of specificity </w:t>
      </w:r>
      <w:r w:rsidR="0080567A">
        <w:rPr>
          <w:rStyle w:val="None"/>
        </w:rPr>
        <w:t>regarding</w:t>
      </w:r>
      <w:r w:rsidRPr="006C2DA7">
        <w:rPr>
          <w:rStyle w:val="None"/>
        </w:rPr>
        <w:t xml:space="preserve"> the neurological circuits affected.</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The following five reasons explain why it is difficult to discern the </w:t>
      </w:r>
      <w:r w:rsidR="0080567A">
        <w:rPr>
          <w:rStyle w:val="None"/>
        </w:rPr>
        <w:t xml:space="preserve">precise </w:t>
      </w:r>
      <w:r w:rsidRPr="006C2DA7">
        <w:rPr>
          <w:rStyle w:val="None"/>
        </w:rPr>
        <w:t>neurobiological correlate</w:t>
      </w:r>
      <w:r w:rsidR="0080567A">
        <w:rPr>
          <w:rStyle w:val="None"/>
        </w:rPr>
        <w:t>s</w:t>
      </w:r>
      <w:r w:rsidRPr="006C2DA7">
        <w:rPr>
          <w:rStyle w:val="None"/>
        </w:rPr>
        <w:t xml:space="preserve"> of a particular psychedelic experience: (1) Our knowledge of the neurobiology is limited; (2) Most psychedelics bind to several proteins associated with a particular neurotransmitter; (3) Psychedelics may engage additional neurotransmitter systems directly or indirectly; (4) The neurotransmitter-modulating proteins are typically widespread across the brain; and (5) The experiences reported vary considerably not only </w:t>
      </w:r>
      <w:r w:rsidR="0009685D">
        <w:rPr>
          <w:rStyle w:val="None"/>
        </w:rPr>
        <w:t>among</w:t>
      </w:r>
      <w:r w:rsidRPr="006C2DA7">
        <w:rPr>
          <w:rStyle w:val="None"/>
        </w:rPr>
        <w:t xml:space="preserve"> individuals, but even when the same person repeatedly ingests </w:t>
      </w:r>
      <w:r w:rsidR="00AA36EB">
        <w:rPr>
          <w:rStyle w:val="None"/>
        </w:rPr>
        <w:t>a particular</w:t>
      </w:r>
      <w:r w:rsidRPr="006C2DA7">
        <w:rPr>
          <w:rStyle w:val="None"/>
        </w:rPr>
        <w:t xml:space="preserve"> substance. We consequently focus on key reported effects and</w:t>
      </w:r>
      <w:r w:rsidR="00AA36EB">
        <w:rPr>
          <w:rStyle w:val="None"/>
        </w:rPr>
        <w:t xml:space="preserve"> </w:t>
      </w:r>
      <w:r w:rsidRPr="006C2DA7">
        <w:rPr>
          <w:rStyle w:val="None"/>
        </w:rPr>
        <w:t>neurobiological targets in the hope that the correlates they suggest inform how the brain operates.</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Most of the effects experienced </w:t>
      </w:r>
      <w:r w:rsidR="00A85D74">
        <w:rPr>
          <w:rStyle w:val="None"/>
        </w:rPr>
        <w:t xml:space="preserve">by </w:t>
      </w:r>
      <w:r w:rsidRPr="006C2DA7">
        <w:rPr>
          <w:rStyle w:val="None"/>
        </w:rPr>
        <w:t xml:space="preserve">ingesting psychedelics can also occur in the absence of chemical intervention, although the effect of the drugs is likely to be extreme compared to what most people </w:t>
      </w:r>
      <w:r w:rsidR="00A85D74">
        <w:rPr>
          <w:rStyle w:val="None"/>
        </w:rPr>
        <w:t>encounter</w:t>
      </w:r>
      <w:r w:rsidRPr="006C2DA7">
        <w:rPr>
          <w:rStyle w:val="None"/>
        </w:rPr>
        <w:t xml:space="preserve"> in daily life. Drug-resembling experiences can reflect pathological conditions (e.g., schizophrenia, epilepsy, dementia) or arise in response to internal (e.g., hyperventilation) and external (e.g., sensory deprivation) triggers. In other words, the effects of psychedelics appear to be based on inherent attributes of how the brain operates, but they differ from the normal way </w:t>
      </w:r>
      <w:r w:rsidR="0009685D">
        <w:rPr>
          <w:rStyle w:val="None"/>
        </w:rPr>
        <w:t xml:space="preserve">the brain </w:t>
      </w:r>
      <w:r w:rsidRPr="006C2DA7">
        <w:rPr>
          <w:rStyle w:val="None"/>
        </w:rPr>
        <w:t>generat</w:t>
      </w:r>
      <w:r w:rsidR="0009685D">
        <w:rPr>
          <w:rStyle w:val="None"/>
        </w:rPr>
        <w:t>es</w:t>
      </w:r>
      <w:r w:rsidRPr="006C2DA7">
        <w:rPr>
          <w:rStyle w:val="None"/>
        </w:rPr>
        <w:t xml:space="preserve"> conscious content.</w:t>
      </w:r>
    </w:p>
    <w:p w:rsidR="001000A3" w:rsidRPr="006C2DA7" w:rsidRDefault="001000A3" w:rsidP="006C2DA7">
      <w:pPr>
        <w:pStyle w:val="Brdtekst"/>
        <w:tabs>
          <w:tab w:val="left" w:pos="426"/>
        </w:tabs>
        <w:spacing w:line="360" w:lineRule="auto"/>
        <w:ind w:right="421" w:firstLine="426"/>
        <w:rPr>
          <w:rStyle w:val="None"/>
        </w:rPr>
      </w:pPr>
    </w:p>
    <w:p w:rsidR="001000A3" w:rsidRPr="006C2DA7" w:rsidRDefault="00462402" w:rsidP="006C2DA7">
      <w:pPr>
        <w:pStyle w:val="Brdtekst"/>
        <w:tabs>
          <w:tab w:val="left" w:pos="426"/>
        </w:tabs>
        <w:spacing w:line="360" w:lineRule="auto"/>
        <w:ind w:right="421" w:firstLine="426"/>
        <w:jc w:val="center"/>
        <w:rPr>
          <w:b/>
          <w:bCs/>
        </w:rPr>
      </w:pPr>
      <w:r w:rsidRPr="006C2DA7">
        <w:rPr>
          <w:b/>
          <w:bCs/>
        </w:rPr>
        <w:t>Classical Psychedelics</w:t>
      </w:r>
    </w:p>
    <w:p w:rsidR="001000A3" w:rsidRPr="006C2DA7" w:rsidRDefault="001000A3" w:rsidP="006C2DA7">
      <w:pPr>
        <w:pStyle w:val="Brdtekst"/>
        <w:tabs>
          <w:tab w:val="left" w:pos="426"/>
        </w:tabs>
        <w:spacing w:line="360" w:lineRule="auto"/>
        <w:ind w:right="421" w:firstLine="426"/>
        <w:rPr>
          <w:rStyle w:val="None"/>
        </w:rPr>
      </w:pPr>
    </w:p>
    <w:p w:rsidR="001000A3" w:rsidRPr="006C2DA7" w:rsidRDefault="00462402" w:rsidP="006C2DA7">
      <w:pPr>
        <w:pStyle w:val="Brdtekst"/>
        <w:tabs>
          <w:tab w:val="left" w:pos="426"/>
        </w:tabs>
        <w:spacing w:line="360" w:lineRule="auto"/>
        <w:ind w:right="421" w:firstLine="426"/>
        <w:rPr>
          <w:rStyle w:val="None"/>
        </w:rPr>
      </w:pPr>
      <w:r w:rsidRPr="006C2DA7">
        <w:rPr>
          <w:rStyle w:val="None"/>
        </w:rPr>
        <w:t>The most prominent feature of classical psychedelics is their profound effects on perception and cognition. Visual and auditory signals are not only distorted, but percepts, in the form of hallucinations, appear in the absence of external input. The primary target for these substances is to act as agonists on the 5-hydroxytryptamine(5-HT)</w:t>
      </w:r>
      <w:r w:rsidRPr="006C2DA7">
        <w:rPr>
          <w:rStyle w:val="None"/>
          <w:vertAlign w:val="subscript"/>
        </w:rPr>
        <w:t>2A</w:t>
      </w:r>
      <w:r w:rsidRPr="006C2DA7">
        <w:rPr>
          <w:rStyle w:val="None"/>
        </w:rPr>
        <w:t xml:space="preserve"> receptor, but they can also interact with other serotonin receptors such as 5-HT</w:t>
      </w:r>
      <w:r w:rsidRPr="006C2DA7">
        <w:rPr>
          <w:rStyle w:val="None"/>
          <w:vertAlign w:val="subscript"/>
        </w:rPr>
        <w:t>2C</w:t>
      </w:r>
      <w:r w:rsidRPr="006C2DA7">
        <w:rPr>
          <w:rStyle w:val="None"/>
        </w:rPr>
        <w:t>, and 5-HT</w:t>
      </w:r>
      <w:r w:rsidRPr="006C2DA7">
        <w:rPr>
          <w:rStyle w:val="None"/>
          <w:vertAlign w:val="subscript"/>
        </w:rPr>
        <w:t>1A</w:t>
      </w:r>
      <w:r w:rsidRPr="006C2DA7">
        <w:rPr>
          <w:rStyle w:val="None"/>
        </w:rPr>
        <w:t xml:space="preserve"> (Nichols, 2016). Moreover, the activation of serotonergic circuits has downstream repercussions on key neurotransmitters such as glutamate, GABA, and dopamine (Canal, 2018; Vollenweider &amp; Geyer, 2001). The observation that 5-HT</w:t>
      </w:r>
      <w:r w:rsidRPr="006C2DA7">
        <w:rPr>
          <w:rStyle w:val="None"/>
          <w:vertAlign w:val="subscript"/>
        </w:rPr>
        <w:t>2A</w:t>
      </w:r>
      <w:r w:rsidRPr="006C2DA7">
        <w:rPr>
          <w:rStyle w:val="None"/>
        </w:rPr>
        <w:t xml:space="preserve"> receptor antagonists block at least the more prominent effects of classical psychedelics</w:t>
      </w:r>
      <w:r w:rsidR="00A85D74">
        <w:rPr>
          <w:rStyle w:val="None"/>
        </w:rPr>
        <w:t>,</w:t>
      </w:r>
      <w:r w:rsidRPr="006C2DA7">
        <w:rPr>
          <w:rStyle w:val="None"/>
        </w:rPr>
        <w:t xml:space="preserve"> substantiates the notion that this receptor serves a</w:t>
      </w:r>
      <w:r w:rsidR="003C02E0">
        <w:rPr>
          <w:rStyle w:val="None"/>
        </w:rPr>
        <w:t>n integral</w:t>
      </w:r>
      <w:r w:rsidRPr="006C2DA7">
        <w:rPr>
          <w:rStyle w:val="None"/>
        </w:rPr>
        <w:t xml:space="preserve"> role in inducing </w:t>
      </w:r>
      <w:r w:rsidR="00A85D74">
        <w:rPr>
          <w:rStyle w:val="None"/>
        </w:rPr>
        <w:t xml:space="preserve">the </w:t>
      </w:r>
      <w:r w:rsidRPr="006C2DA7">
        <w:rPr>
          <w:rStyle w:val="None"/>
        </w:rPr>
        <w:t>alterations in consciousness (Deco et al., 2018; Vollenweider et al., 1998). People suffering from psychosis may report experiences similar to those induced by psychedelics, and the 5-HT</w:t>
      </w:r>
      <w:r w:rsidRPr="006C2DA7">
        <w:rPr>
          <w:rStyle w:val="None"/>
          <w:vertAlign w:val="subscript"/>
        </w:rPr>
        <w:t>2A</w:t>
      </w:r>
      <w:r w:rsidRPr="006C2DA7">
        <w:rPr>
          <w:rStyle w:val="None"/>
        </w:rPr>
        <w:t xml:space="preserve"> receptor is also a target for antipsychotics (Meltzer &amp; Massey, 2011), further validating the core role of this receptor.</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Various lines of evidence, including brain imaging and animal studies, suggest that the primary site of action is the prefrontal cortex, although other sites of action may include the basal ganglia, cingulate cortex, claustrum, and thalamus (Beique, Imad, Mladenovic, Gingrich, &amp; Andrade, 2007; Canal, 2018; Riba et al., 2006).  </w:t>
      </w:r>
      <w:r w:rsidR="00A85D74">
        <w:rPr>
          <w:rStyle w:val="None"/>
        </w:rPr>
        <w:t xml:space="preserve">The </w:t>
      </w:r>
      <w:r w:rsidRPr="006C2DA7">
        <w:rPr>
          <w:rStyle w:val="None"/>
        </w:rPr>
        <w:t>5-HT</w:t>
      </w:r>
      <w:r w:rsidRPr="006C2DA7">
        <w:rPr>
          <w:rStyle w:val="None"/>
          <w:vertAlign w:val="subscript"/>
        </w:rPr>
        <w:t>2A</w:t>
      </w:r>
      <w:r w:rsidRPr="006C2DA7">
        <w:rPr>
          <w:rStyle w:val="None"/>
        </w:rPr>
        <w:t xml:space="preserve"> receptors expressed on apical dendrites of neocortical pyramidal cells in prefrontal cortex layer V seem to be particularly relevant (Nichols, 2016). These neurons are well connected to subcortical regions, and their function in the broadcasting process may be to </w:t>
      </w:r>
      <w:r w:rsidR="008910C5">
        <w:rPr>
          <w:rStyle w:val="None"/>
        </w:rPr>
        <w:t>facilitate the</w:t>
      </w:r>
      <w:r w:rsidRPr="006C2DA7">
        <w:rPr>
          <w:rStyle w:val="None"/>
        </w:rPr>
        <w:t xml:space="preserve"> select</w:t>
      </w:r>
      <w:r w:rsidR="008910C5">
        <w:rPr>
          <w:rStyle w:val="None"/>
        </w:rPr>
        <w:t>ion</w:t>
      </w:r>
      <w:r w:rsidRPr="006C2DA7">
        <w:rPr>
          <w:rStyle w:val="None"/>
        </w:rPr>
        <w:t xml:space="preserve"> and integrat</w:t>
      </w:r>
      <w:r w:rsidR="008910C5">
        <w:rPr>
          <w:rStyle w:val="None"/>
        </w:rPr>
        <w:t>ion of</w:t>
      </w:r>
      <w:r w:rsidRPr="006C2DA7">
        <w:rPr>
          <w:rStyle w:val="None"/>
        </w:rPr>
        <w:t xml:space="preserve"> elements to be broadcasted (Barkai &amp; Hasselmo, 1994). The selection process has been referred to as </w:t>
      </w:r>
      <w:r w:rsidRPr="006C2DA7">
        <w:rPr>
          <w:rStyle w:val="None"/>
          <w:i/>
          <w:iCs/>
        </w:rPr>
        <w:t>gating</w:t>
      </w:r>
      <w:r w:rsidRPr="006C2DA7">
        <w:rPr>
          <w:rStyle w:val="None"/>
        </w:rPr>
        <w:t xml:space="preserve"> (Cromwell, Mears, Wan, &amp; Boutros, 2008). In the present terminology, it could be described as selecting which bubbles are allowed to proceed all the way to the surface of consciousness.</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Crick </w:t>
      </w:r>
      <w:r w:rsidR="00523340">
        <w:rPr>
          <w:rStyle w:val="None"/>
        </w:rPr>
        <w:t>and</w:t>
      </w:r>
      <w:r w:rsidRPr="006C2DA7">
        <w:rPr>
          <w:rStyle w:val="None"/>
        </w:rPr>
        <w:t xml:space="preserve"> Koch (2005) have proposed that the claustrum, a thin sheet layered between the cortex and subcortical regions, plays a </w:t>
      </w:r>
      <w:r w:rsidR="00904C16">
        <w:rPr>
          <w:rStyle w:val="None"/>
        </w:rPr>
        <w:t xml:space="preserve">vital </w:t>
      </w:r>
      <w:r w:rsidRPr="006C2DA7">
        <w:rPr>
          <w:rStyle w:val="None"/>
        </w:rPr>
        <w:t>role in the selection procedure. The claustrum has a particularly high concentration of 5-HT</w:t>
      </w:r>
      <w:r w:rsidRPr="006C2DA7">
        <w:rPr>
          <w:rStyle w:val="None"/>
          <w:vertAlign w:val="subscript"/>
        </w:rPr>
        <w:t>2A</w:t>
      </w:r>
      <w:r w:rsidRPr="006C2DA7">
        <w:rPr>
          <w:rStyle w:val="None"/>
        </w:rPr>
        <w:t xml:space="preserve"> receptors and is thus a likely target (Nichols, 2016). The claustrum has also been implicated in the perception of time (Yin, Terhune, Smythies, &amp; Meck, 2016), which is noteworthy insofar as a striking effect of classical psychedelics is an altered sense of time (Heimann, 1994).</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The brain is not designed to broadcast an exact representation of what the senses pick up. Chemicals acting on key circuits involved in broadcasting would be expected to further distort the experience. The activation of 5-HT</w:t>
      </w:r>
      <w:r w:rsidRPr="006C2DA7">
        <w:rPr>
          <w:rStyle w:val="None"/>
          <w:vertAlign w:val="subscript"/>
        </w:rPr>
        <w:t>2A</w:t>
      </w:r>
      <w:r w:rsidRPr="006C2DA7">
        <w:rPr>
          <w:rStyle w:val="None"/>
        </w:rPr>
        <w:t xml:space="preserve"> receptors by classical psychedelics may cause this distortion by intervening in the selection</w:t>
      </w:r>
      <w:r w:rsidR="00AE41F2">
        <w:rPr>
          <w:rStyle w:val="None"/>
        </w:rPr>
        <w:t>,</w:t>
      </w:r>
      <w:r w:rsidRPr="006C2DA7">
        <w:rPr>
          <w:rStyle w:val="None"/>
        </w:rPr>
        <w:t xml:space="preserve"> and perhaps "surface-integration</w:t>
      </w:r>
      <w:r w:rsidR="00AE41F2">
        <w:rPr>
          <w:rStyle w:val="None"/>
        </w:rPr>
        <w:t>,</w:t>
      </w:r>
      <w:r w:rsidRPr="006C2DA7">
        <w:rPr>
          <w:rStyle w:val="None"/>
        </w:rPr>
        <w:t>" of bubbles. That is, the experience becomes scrambled and distorted, conceivably due to the opening of the gates for "aberrant" bubbles, for too many bubbles, or by not allowing the bubbles to form a coherent surface. The neurobiological correlate of this process may involve the activation of subsets of circuits in the workspace that do not correspond to any actual perceptual experience</w:t>
      </w:r>
      <w:r w:rsidR="00AE41F2">
        <w:rPr>
          <w:rStyle w:val="None"/>
        </w:rPr>
        <w:t>,</w:t>
      </w:r>
      <w:r w:rsidRPr="006C2DA7">
        <w:rPr>
          <w:rStyle w:val="None"/>
        </w:rPr>
        <w:t xml:space="preserve"> or to the activation of many subsets </w:t>
      </w:r>
      <w:r w:rsidR="00904C16">
        <w:rPr>
          <w:rStyle w:val="None"/>
        </w:rPr>
        <w:t xml:space="preserve">of circuits </w:t>
      </w:r>
      <w:r w:rsidRPr="006C2DA7">
        <w:rPr>
          <w:rStyle w:val="None"/>
        </w:rPr>
        <w:t xml:space="preserve">simultaneously.  Notably, classical psychedelics tend to reduce the oscillatory power in the cortex; that is, they decrease EEG amplitudes due to desynchronization (Swanson, 2018), which may reflect a more intense form of broadcasting as might be expected if the selection process </w:t>
      </w:r>
      <w:r w:rsidR="003141A4">
        <w:rPr>
          <w:rStyle w:val="None"/>
        </w:rPr>
        <w:t>w</w:t>
      </w:r>
      <w:r w:rsidR="00B516F8">
        <w:rPr>
          <w:rStyle w:val="None"/>
        </w:rPr>
        <w:t>as</w:t>
      </w:r>
      <w:r w:rsidRPr="006C2DA7">
        <w:rPr>
          <w:rStyle w:val="None"/>
        </w:rPr>
        <w:t xml:space="preserve"> hampered.</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The </w:t>
      </w:r>
      <w:r w:rsidRPr="006C2DA7">
        <w:rPr>
          <w:rStyle w:val="None"/>
          <w:i/>
          <w:iCs/>
        </w:rPr>
        <w:t>default mode network</w:t>
      </w:r>
      <w:r w:rsidRPr="006C2DA7">
        <w:rPr>
          <w:rStyle w:val="None"/>
        </w:rPr>
        <w:t xml:space="preserve"> (DMN) is situated (at least primarily) within the workspace and is associated with "mind wandering" and a preoccupation with internally directed cognition (Raichle, 2015). The DMN typically displays reduced activity under the influence of classical psychedelics (Swanson, 2018), perhaps because the broadcasting of (pseudo)sensory information is intensified. The shift of focus away from mind wandering to sensory conscious content may help </w:t>
      </w:r>
      <w:r w:rsidR="003141A4">
        <w:rPr>
          <w:rStyle w:val="None"/>
        </w:rPr>
        <w:t xml:space="preserve">to </w:t>
      </w:r>
      <w:r w:rsidRPr="006C2DA7">
        <w:rPr>
          <w:rStyle w:val="None"/>
        </w:rPr>
        <w:t>explain why the brain considers hallucinations to be external in origin, even though they can be generated in the absence of any external influence.</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Classical psychedelics produce not only overt hallucinations, but also </w:t>
      </w:r>
      <w:r w:rsidRPr="006C2DA7">
        <w:rPr>
          <w:rStyle w:val="None"/>
          <w:i/>
          <w:iCs/>
        </w:rPr>
        <w:t>synesthesia</w:t>
      </w:r>
      <w:r w:rsidRPr="006C2DA7">
        <w:rPr>
          <w:rStyle w:val="None"/>
        </w:rPr>
        <w:t xml:space="preserve"> (the crossover of sensory experiences such as seeing sounds or hearing colors); the main difference being that in cases of synesthesia a particular sensory trigger can be identified</w:t>
      </w:r>
      <w:r w:rsidR="00B516F8">
        <w:rPr>
          <w:rStyle w:val="None"/>
        </w:rPr>
        <w:t>, which is not the case for hallucinations</w:t>
      </w:r>
      <w:r w:rsidRPr="006C2DA7">
        <w:rPr>
          <w:rStyle w:val="None"/>
        </w:rPr>
        <w:t xml:space="preserve"> (Brogaard, 2013). People who experience synesthesia in the absence of drugs typically report an enduring</w:t>
      </w:r>
      <w:r w:rsidR="003141A4">
        <w:rPr>
          <w:rStyle w:val="None"/>
        </w:rPr>
        <w:t xml:space="preserve"> </w:t>
      </w:r>
      <w:r w:rsidRPr="006C2DA7">
        <w:rPr>
          <w:rStyle w:val="None"/>
        </w:rPr>
        <w:t xml:space="preserve">binding of a certain stimulus to a certain effect; for example, the letter A may consistently be perceived as red. Synesthesia induced by psychedelics is not fixed in a similar way. </w:t>
      </w:r>
      <w:r w:rsidR="003141A4">
        <w:rPr>
          <w:rStyle w:val="None"/>
        </w:rPr>
        <w:t>S</w:t>
      </w:r>
      <w:r w:rsidRPr="006C2DA7">
        <w:rPr>
          <w:rStyle w:val="None"/>
        </w:rPr>
        <w:t xml:space="preserve">ynesthesia </w:t>
      </w:r>
      <w:r w:rsidR="003141A4">
        <w:rPr>
          <w:rStyle w:val="None"/>
        </w:rPr>
        <w:t xml:space="preserve">is linked </w:t>
      </w:r>
      <w:r w:rsidRPr="006C2DA7">
        <w:rPr>
          <w:rStyle w:val="None"/>
        </w:rPr>
        <w:t xml:space="preserve">to an increase in serotonergic and glutamatergic activity, whether it is induced by drugs, reflects a developmental trait, or is caused by brain injury (Brogaard, 2013). Brang </w:t>
      </w:r>
      <w:r w:rsidR="00523340">
        <w:rPr>
          <w:rStyle w:val="None"/>
        </w:rPr>
        <w:t>and</w:t>
      </w:r>
      <w:r w:rsidRPr="006C2DA7">
        <w:rPr>
          <w:rStyle w:val="None"/>
        </w:rPr>
        <w:t xml:space="preserve"> Ramachandran (2008) suggested that 5-HT</w:t>
      </w:r>
      <w:r w:rsidRPr="006C2DA7">
        <w:rPr>
          <w:rStyle w:val="None"/>
          <w:vertAlign w:val="subscript"/>
        </w:rPr>
        <w:t>2A</w:t>
      </w:r>
      <w:r w:rsidRPr="006C2DA7">
        <w:rPr>
          <w:rStyle w:val="None"/>
        </w:rPr>
        <w:t xml:space="preserve"> receptor activity is responsible for synesthesia, indicating that the mechanism </w:t>
      </w:r>
      <w:r w:rsidR="00523340">
        <w:rPr>
          <w:rStyle w:val="None"/>
        </w:rPr>
        <w:t>driving</w:t>
      </w:r>
      <w:r w:rsidRPr="006C2DA7">
        <w:rPr>
          <w:rStyle w:val="None"/>
        </w:rPr>
        <w:t xml:space="preserve"> this phenomenon is similar to that of hallucinations produced by classical psychedelics.</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People who ingest classical psychedelics commonly report a lack of mental control (Dittrich, 1998)</w:t>
      </w:r>
      <w:r w:rsidR="00523340">
        <w:rPr>
          <w:rStyle w:val="None"/>
        </w:rPr>
        <w:t xml:space="preserve">, an </w:t>
      </w:r>
      <w:r w:rsidRPr="006C2DA7">
        <w:rPr>
          <w:rStyle w:val="None"/>
        </w:rPr>
        <w:t>experience</w:t>
      </w:r>
      <w:r w:rsidR="003141A4">
        <w:rPr>
          <w:rStyle w:val="None"/>
        </w:rPr>
        <w:t xml:space="preserve"> that is </w:t>
      </w:r>
      <w:r w:rsidRPr="006C2DA7">
        <w:rPr>
          <w:rStyle w:val="None"/>
        </w:rPr>
        <w:t xml:space="preserve">likely </w:t>
      </w:r>
      <w:r w:rsidR="003141A4">
        <w:rPr>
          <w:rStyle w:val="None"/>
        </w:rPr>
        <w:t xml:space="preserve">the </w:t>
      </w:r>
      <w:r w:rsidRPr="006C2DA7">
        <w:rPr>
          <w:rStyle w:val="None"/>
        </w:rPr>
        <w:t xml:space="preserve">consequence of </w:t>
      </w:r>
      <w:r w:rsidR="00523340">
        <w:rPr>
          <w:rStyle w:val="None"/>
        </w:rPr>
        <w:t>ingesting</w:t>
      </w:r>
      <w:r w:rsidRPr="006C2DA7">
        <w:rPr>
          <w:rStyle w:val="None"/>
        </w:rPr>
        <w:t xml:space="preserve"> drugs that disrupt normal broadcasting and flood the mind with novel experiences. In doing so, the chemicals presumably </w:t>
      </w:r>
      <w:r w:rsidR="00523340">
        <w:rPr>
          <w:rStyle w:val="None"/>
        </w:rPr>
        <w:t>interfere with</w:t>
      </w:r>
      <w:r w:rsidRPr="006C2DA7">
        <w:rPr>
          <w:rStyle w:val="None"/>
        </w:rPr>
        <w:t xml:space="preserve"> the ability of the conscious brain to direct attention. Moreover, the prefrontal cortex is a main target of these drugs, and it may be relevant that this part of the brain also is implicated in decision-making and executive control</w:t>
      </w:r>
      <w:r w:rsidRPr="006C2DA7">
        <w:t xml:space="preserve"> (Domenech &amp; Koechlin, 2015).</w:t>
      </w:r>
      <w:r w:rsidRPr="006C2DA7">
        <w:rPr>
          <w:rStyle w:val="None"/>
        </w:rPr>
        <w:t xml:space="preserve"> Executive control includes the conscious-driven aspect of deciding what information the unconscious brain should incorporate in the broadcast.</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A striking quality of classical psychedelics, compared with most other psychotropics, is that their effects are unpredictable and vary with a range of factors such as the amount ingested, personality, mood, expectations, and environmental conditions. For example, LSD users refer to their intoxication as "trips" and to adverse or unpleasant experiences as "bad trips." Prior to ingestion, it is not certain what direction the journey will take. The unpredictability </w:t>
      </w:r>
      <w:r w:rsidR="000433CA">
        <w:rPr>
          <w:rStyle w:val="None"/>
        </w:rPr>
        <w:t xml:space="preserve">of responses </w:t>
      </w:r>
      <w:r w:rsidRPr="006C2DA7">
        <w:rPr>
          <w:rStyle w:val="None"/>
        </w:rPr>
        <w:t xml:space="preserve">substantiates the notion that these substances disturb broadcasting, rather than exert their effect on lower levels of processing. By disturbing the broadcasting, the experience is expected to depend on whatever modules happen to be engaged at the time. If the fear module is already engaged, the effect may be to enhance and distort the bubbles coming from this module, which could </w:t>
      </w:r>
      <w:r w:rsidR="000433CA">
        <w:rPr>
          <w:rStyle w:val="None"/>
        </w:rPr>
        <w:t>then</w:t>
      </w:r>
      <w:r w:rsidRPr="006C2DA7">
        <w:rPr>
          <w:rStyle w:val="None"/>
        </w:rPr>
        <w:t xml:space="preserve"> qualify as a bad trip.</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During hallucinations induced by classical psychedelics, the processing center for visual stimuli in the occipital lobe is activated even when the eyes are closed (Swanson, 2018). Th</w:t>
      </w:r>
      <w:r w:rsidR="000433CA">
        <w:rPr>
          <w:rStyle w:val="None"/>
        </w:rPr>
        <w:t>is</w:t>
      </w:r>
      <w:r w:rsidRPr="006C2DA7">
        <w:rPr>
          <w:rStyle w:val="None"/>
        </w:rPr>
        <w:t xml:space="preserve"> observation suggests that circuits in the occipital lobe are involved in both preparing information for broadcasting and in the actual broadcasting</w:t>
      </w:r>
      <w:r w:rsidR="000433CA">
        <w:rPr>
          <w:rStyle w:val="None"/>
        </w:rPr>
        <w:t xml:space="preserve"> of information</w:t>
      </w:r>
      <w:r w:rsidRPr="006C2DA7">
        <w:rPr>
          <w:rStyle w:val="None"/>
        </w:rPr>
        <w:t>.</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ab/>
        <w:t>Epileptic seizures localized in either the l</w:t>
      </w:r>
      <w:r w:rsidR="00065685">
        <w:rPr>
          <w:rStyle w:val="None"/>
        </w:rPr>
        <w:t>eft or the right occipital lobe</w:t>
      </w:r>
      <w:r w:rsidRPr="006C2DA7">
        <w:rPr>
          <w:rStyle w:val="None"/>
        </w:rPr>
        <w:t xml:space="preserve"> typically induce visual distortions or hallucinations </w:t>
      </w:r>
      <w:r w:rsidR="00065685">
        <w:rPr>
          <w:rStyle w:val="None"/>
        </w:rPr>
        <w:t>that</w:t>
      </w:r>
      <w:r w:rsidR="00065685" w:rsidRPr="006C2DA7">
        <w:rPr>
          <w:rStyle w:val="None"/>
        </w:rPr>
        <w:t xml:space="preserve"> are perceived as part of the visual field on the opposite side of the seizure focus </w:t>
      </w:r>
      <w:r w:rsidRPr="006C2DA7">
        <w:rPr>
          <w:rStyle w:val="None"/>
        </w:rPr>
        <w:t>(Panayiotopoulos, 2007), suggesting that the effect is on the module responsible for processing visual perception. If broadcasting had been affected, one would expect the experience to appear as emanating from both eyes. Seizures in the temporal or parietal lobes, however, can produce complex hallucinations that typical</w:t>
      </w:r>
      <w:r w:rsidR="00114341">
        <w:rPr>
          <w:rStyle w:val="None"/>
        </w:rPr>
        <w:t>ly</w:t>
      </w:r>
      <w:r w:rsidRPr="006C2DA7">
        <w:rPr>
          <w:rStyle w:val="None"/>
        </w:rPr>
        <w:t xml:space="preserve"> cover both visual fields (Panayiotopoulos, 2007), which is more like the effect of classical psychedelics. These observations substantiate the idea that </w:t>
      </w:r>
      <w:r w:rsidR="009D5F1E">
        <w:rPr>
          <w:rStyle w:val="None"/>
        </w:rPr>
        <w:t>changes in</w:t>
      </w:r>
      <w:r w:rsidRPr="006C2DA7">
        <w:rPr>
          <w:rStyle w:val="None"/>
        </w:rPr>
        <w:t xml:space="preserve"> either the processing module (the occipital lobe) or the broadcasting procedure (temporal and parietal lobes) can distort the experience, but in ways that differ due to the different roles these brain regions</w:t>
      </w:r>
      <w:r w:rsidR="00523340">
        <w:rPr>
          <w:rStyle w:val="None"/>
        </w:rPr>
        <w:t xml:space="preserve"> play</w:t>
      </w:r>
      <w:r w:rsidRPr="006C2DA7">
        <w:rPr>
          <w:rStyle w:val="None"/>
        </w:rPr>
        <w:t>.</w:t>
      </w:r>
    </w:p>
    <w:p w:rsidR="001000A3" w:rsidRPr="006C2DA7" w:rsidRDefault="001000A3" w:rsidP="006C2DA7">
      <w:pPr>
        <w:pStyle w:val="Brdtekst"/>
        <w:tabs>
          <w:tab w:val="left" w:pos="426"/>
        </w:tabs>
        <w:spacing w:line="360" w:lineRule="auto"/>
        <w:ind w:right="421" w:firstLine="426"/>
        <w:rPr>
          <w:rStyle w:val="None"/>
        </w:rPr>
      </w:pPr>
    </w:p>
    <w:p w:rsidR="001000A3" w:rsidRPr="006C2DA7" w:rsidRDefault="00462402" w:rsidP="00207C3D">
      <w:pPr>
        <w:pStyle w:val="Brdtekst"/>
        <w:tabs>
          <w:tab w:val="left" w:pos="426"/>
          <w:tab w:val="left" w:pos="9022"/>
        </w:tabs>
        <w:spacing w:line="360" w:lineRule="auto"/>
        <w:ind w:right="421" w:firstLine="426"/>
        <w:jc w:val="center"/>
        <w:rPr>
          <w:b/>
          <w:bCs/>
        </w:rPr>
      </w:pPr>
      <w:r w:rsidRPr="006C2DA7">
        <w:rPr>
          <w:b/>
          <w:bCs/>
        </w:rPr>
        <w:t>Empathogens</w:t>
      </w:r>
    </w:p>
    <w:p w:rsidR="001000A3" w:rsidRPr="006C2DA7" w:rsidRDefault="001000A3" w:rsidP="006C2DA7">
      <w:pPr>
        <w:pStyle w:val="Brdtekst"/>
        <w:tabs>
          <w:tab w:val="left" w:pos="426"/>
        </w:tabs>
        <w:spacing w:line="360" w:lineRule="auto"/>
        <w:ind w:right="421" w:firstLine="426"/>
        <w:rPr>
          <w:rStyle w:val="None"/>
        </w:rPr>
      </w:pP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Empathogens, </w:t>
      </w:r>
      <w:r w:rsidRPr="006C2DA7">
        <w:t>including the most studied substance MDMA</w:t>
      </w:r>
      <w:r w:rsidR="004B306C">
        <w:t>,</w:t>
      </w:r>
      <w:r w:rsidRPr="006C2DA7">
        <w:rPr>
          <w:rStyle w:val="None"/>
        </w:rPr>
        <w:t xml:space="preserve"> stimulate social connection by enhancing empathy and trust; they are also energizing, improve mood, and produce sensory distortions or mild hallucinations (Kamilar-Britt &amp; Bedi, 2015). The latter effects of empathogens are somewhat similar to stimulants such as amphetamine (Rasmussen, 2008). However, typical stimulants are thought to exert their effects via the release of dopamine and norepinephrine, whereas MDMA is primarily serotonergic</w:t>
      </w:r>
      <w:r w:rsidR="004B306C">
        <w:t xml:space="preserve">; that is, </w:t>
      </w:r>
      <w:r w:rsidRPr="006C2DA7">
        <w:rPr>
          <w:rStyle w:val="None"/>
        </w:rPr>
        <w:t>the drug preferentially increases the release and inhibits the reuptake of serotonin, with lesser effects on norepinephrine and only a limited, indirect effect on dopamine (Berry, Gainetdinov, Hoener, &amp; Shahid, 2017; Bershad et al., 2016). The positive effect on mood seems to be partly due to activation of 5-HT</w:t>
      </w:r>
      <w:r w:rsidRPr="006C2DA7">
        <w:rPr>
          <w:rStyle w:val="None"/>
          <w:vertAlign w:val="subscript"/>
        </w:rPr>
        <w:t>2A</w:t>
      </w:r>
      <w:r w:rsidRPr="006C2DA7">
        <w:rPr>
          <w:rStyle w:val="None"/>
        </w:rPr>
        <w:t xml:space="preserve"> signaling (van Wel et al., 2012).</w:t>
      </w:r>
      <w:r w:rsidR="004B306C">
        <w:rPr>
          <w:rStyle w:val="None"/>
        </w:rPr>
        <w:t xml:space="preserve">  S</w:t>
      </w:r>
      <w:r w:rsidRPr="006C2DA7">
        <w:rPr>
          <w:rStyle w:val="None"/>
        </w:rPr>
        <w:t xml:space="preserve">ensory distortions </w:t>
      </w:r>
      <w:r w:rsidR="004B306C">
        <w:rPr>
          <w:rStyle w:val="None"/>
        </w:rPr>
        <w:t>probably</w:t>
      </w:r>
      <w:r w:rsidRPr="006C2DA7">
        <w:rPr>
          <w:rStyle w:val="None"/>
        </w:rPr>
        <w:t xml:space="preserve"> involve the same receptor, </w:t>
      </w:r>
      <w:r w:rsidR="004B306C">
        <w:rPr>
          <w:rStyle w:val="None"/>
        </w:rPr>
        <w:t xml:space="preserve">which is </w:t>
      </w:r>
      <w:r w:rsidRPr="006C2DA7">
        <w:rPr>
          <w:rStyle w:val="None"/>
        </w:rPr>
        <w:t>engaged by classical psychedelics</w:t>
      </w:r>
      <w:r w:rsidR="004B306C">
        <w:rPr>
          <w:rStyle w:val="None"/>
        </w:rPr>
        <w:t xml:space="preserve"> as well</w:t>
      </w:r>
      <w:r w:rsidRPr="006C2DA7">
        <w:rPr>
          <w:rStyle w:val="None"/>
        </w:rPr>
        <w:t>.</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The impact on social relations is the most interesting aspect of empathogens. It is tempting to suggest that th</w:t>
      </w:r>
      <w:r w:rsidR="004B306C">
        <w:rPr>
          <w:rStyle w:val="None"/>
        </w:rPr>
        <w:t>is</w:t>
      </w:r>
      <w:r w:rsidRPr="006C2DA7">
        <w:rPr>
          <w:rStyle w:val="None"/>
        </w:rPr>
        <w:t xml:space="preserve"> effect reflects enhanced activity in modules responsible for gregariousness and compassion. The impact is not restricted to actually being</w:t>
      </w:r>
      <w:r w:rsidR="004B306C">
        <w:rPr>
          <w:rStyle w:val="None"/>
        </w:rPr>
        <w:t xml:space="preserve"> present</w:t>
      </w:r>
      <w:r w:rsidRPr="006C2DA7">
        <w:rPr>
          <w:rStyle w:val="None"/>
        </w:rPr>
        <w:t xml:space="preserve"> in a social setting</w:t>
      </w:r>
      <w:r w:rsidR="00CA7333">
        <w:rPr>
          <w:rStyle w:val="None"/>
        </w:rPr>
        <w:t>,</w:t>
      </w:r>
      <w:r w:rsidRPr="006C2DA7">
        <w:rPr>
          <w:rStyle w:val="None"/>
        </w:rPr>
        <w:t xml:space="preserve"> as MDMA also enhances self-regard and self-compassion, </w:t>
      </w:r>
      <w:r w:rsidR="00CA7333">
        <w:rPr>
          <w:rStyle w:val="None"/>
        </w:rPr>
        <w:t>but</w:t>
      </w:r>
      <w:r w:rsidRPr="006C2DA7">
        <w:rPr>
          <w:rStyle w:val="None"/>
        </w:rPr>
        <w:t xml:space="preserve"> the socializing effect is</w:t>
      </w:r>
      <w:r w:rsidR="004B306C">
        <w:rPr>
          <w:rStyle w:val="None"/>
        </w:rPr>
        <w:t xml:space="preserve">, nevertheless, </w:t>
      </w:r>
      <w:r w:rsidRPr="006C2DA7">
        <w:rPr>
          <w:rStyle w:val="None"/>
        </w:rPr>
        <w:t>optimized in the presence of friends (Baggott et al., 2016; Kamboj et al., 2015). Thus, the connection between social interactions and MDMA is reciprocal; the drug can enrich social interactions and, in turn, the rewarding effects of the drug are enhanced by the presence of others (Bershad et al., 2016).</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MDMA increases oxytocin, and to some extent vasopressin, as an indirect consequence of its serotonergic effect (Dumont et al., 2009; Thompson, Callaghan, Hunt, Cornish, &amp; McGregor, 2007). These neuropeptides are key players in regulating social relations and are likely, at least partly, to mediate the prosocial effect. In support of this notion, </w:t>
      </w:r>
      <w:r w:rsidR="00CA7333">
        <w:rPr>
          <w:rStyle w:val="None"/>
        </w:rPr>
        <w:t>Bershad et al.</w:t>
      </w:r>
      <w:r w:rsidR="00CA7333" w:rsidRPr="006C2DA7">
        <w:rPr>
          <w:rStyle w:val="None"/>
        </w:rPr>
        <w:t xml:space="preserve"> </w:t>
      </w:r>
      <w:r w:rsidR="00CA7333">
        <w:rPr>
          <w:rStyle w:val="None"/>
        </w:rPr>
        <w:t>(</w:t>
      </w:r>
      <w:r w:rsidR="00CA7333" w:rsidRPr="006C2DA7">
        <w:rPr>
          <w:rStyle w:val="None"/>
        </w:rPr>
        <w:t>2016)</w:t>
      </w:r>
      <w:r w:rsidRPr="006C2DA7">
        <w:rPr>
          <w:rStyle w:val="None"/>
        </w:rPr>
        <w:t xml:space="preserve"> </w:t>
      </w:r>
      <w:r w:rsidR="00CA7333">
        <w:rPr>
          <w:rStyle w:val="None"/>
        </w:rPr>
        <w:t>have shown</w:t>
      </w:r>
      <w:r w:rsidRPr="006C2DA7">
        <w:rPr>
          <w:rStyle w:val="None"/>
        </w:rPr>
        <w:t xml:space="preserve"> that the sociable effect of MDMA depends on the genetic</w:t>
      </w:r>
      <w:r w:rsidR="00CA7333">
        <w:rPr>
          <w:rStyle w:val="None"/>
        </w:rPr>
        <w:t xml:space="preserve"> type of the oxytocin receptor</w:t>
      </w:r>
      <w:r w:rsidRPr="006C2DA7">
        <w:rPr>
          <w:rStyle w:val="None"/>
        </w:rPr>
        <w:t xml:space="preserve">. Individuals homozygous for the A allele did not report enhanced sociability, unlike G allele carriers. Further research with empathogens may help us understand </w:t>
      </w:r>
      <w:r w:rsidR="00342550">
        <w:rPr>
          <w:rStyle w:val="None"/>
        </w:rPr>
        <w:t>brain</w:t>
      </w:r>
      <w:r w:rsidRPr="006C2DA7">
        <w:rPr>
          <w:rStyle w:val="None"/>
        </w:rPr>
        <w:t xml:space="preserve"> modules associated with interpersonal relations.</w:t>
      </w:r>
    </w:p>
    <w:p w:rsidR="001000A3" w:rsidRPr="006C2DA7" w:rsidRDefault="00462402" w:rsidP="006C2DA7">
      <w:pPr>
        <w:pStyle w:val="Brdtekst"/>
        <w:tabs>
          <w:tab w:val="left" w:pos="426"/>
        </w:tabs>
        <w:spacing w:line="360" w:lineRule="auto"/>
        <w:ind w:right="421" w:firstLine="426"/>
        <w:jc w:val="center"/>
        <w:rPr>
          <w:b/>
          <w:bCs/>
        </w:rPr>
      </w:pPr>
      <w:r w:rsidRPr="006C2DA7">
        <w:rPr>
          <w:b/>
          <w:bCs/>
        </w:rPr>
        <w:t>Cannabinergics</w:t>
      </w:r>
    </w:p>
    <w:p w:rsidR="001000A3" w:rsidRPr="006C2DA7" w:rsidRDefault="001000A3" w:rsidP="006C2DA7">
      <w:pPr>
        <w:pStyle w:val="Brdtekst"/>
        <w:tabs>
          <w:tab w:val="left" w:pos="426"/>
        </w:tabs>
        <w:spacing w:line="360" w:lineRule="auto"/>
        <w:ind w:right="421" w:firstLine="426"/>
        <w:rPr>
          <w:rStyle w:val="None"/>
        </w:rPr>
      </w:pPr>
    </w:p>
    <w:p w:rsidR="001000A3" w:rsidRPr="006C2DA7" w:rsidRDefault="00462402" w:rsidP="006C2DA7">
      <w:pPr>
        <w:pStyle w:val="Brdtekst"/>
        <w:tabs>
          <w:tab w:val="left" w:pos="426"/>
        </w:tabs>
        <w:spacing w:line="360" w:lineRule="auto"/>
        <w:ind w:right="421" w:firstLine="426"/>
        <w:rPr>
          <w:rStyle w:val="None"/>
        </w:rPr>
      </w:pPr>
      <w:r w:rsidRPr="006C2DA7">
        <w:rPr>
          <w:rStyle w:val="None"/>
        </w:rPr>
        <w:t>The desirable effects of THC include changes in perception and cognition, heightened mood, and increased appetite</w:t>
      </w:r>
      <w:r w:rsidR="003739F8">
        <w:rPr>
          <w:rStyle w:val="None"/>
        </w:rPr>
        <w:t xml:space="preserve">, whereas </w:t>
      </w:r>
      <w:r w:rsidRPr="006C2DA7">
        <w:rPr>
          <w:rStyle w:val="None"/>
        </w:rPr>
        <w:t>less desirable changes are reduced short-term memory and impaired motor skills and attention (Citti et al., 2018). The endocannabinoid neurotransmitters, which THC and related substances mimic, are typically released upon depolarization of neurons (Elphick &amp; Egertova, 2001). The neurotransmitters then bind to cannabinoid (CB) receptors, particularly CB1 receptors, on presynaptic glutamatergic and GABAergic neurons, causing a decrease in the release of, respectively, glutamate and GABA. Limiting the presence of glutamate results in reduced neuronal excitation, while limiting the presence of GABA enhances excitation by suppressing inhibition.</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The CB1 receptors are widespread in the brain, occurring at variable concentrations all over the corticothalamic complex (Pagotto, Marsicano, Cota, Lutz, &amp; Pasquali, 2005). The typical effects of THC are thought to be a consequence of agonist binding to CB1 receptors (Colizzi, McGuire, Pertwee, &amp; Bhattacharyya, 2016). This assumption is substantiated by the observation that rimonabant, a CB1 receptor antagonist, tends to block THC action (Justinova et al., 2008). </w:t>
      </w:r>
      <w:r w:rsidR="003739F8">
        <w:rPr>
          <w:rStyle w:val="None"/>
        </w:rPr>
        <w:t>P</w:t>
      </w:r>
      <w:r w:rsidRPr="006C2DA7">
        <w:rPr>
          <w:rStyle w:val="None"/>
        </w:rPr>
        <w:t xml:space="preserve">ositive </w:t>
      </w:r>
      <w:r w:rsidR="003739F8">
        <w:rPr>
          <w:rStyle w:val="None"/>
        </w:rPr>
        <w:t xml:space="preserve">mood </w:t>
      </w:r>
      <w:r w:rsidRPr="006C2DA7">
        <w:rPr>
          <w:rStyle w:val="None"/>
        </w:rPr>
        <w:t>effect</w:t>
      </w:r>
      <w:r w:rsidR="003739F8">
        <w:rPr>
          <w:rStyle w:val="None"/>
        </w:rPr>
        <w:t>s</w:t>
      </w:r>
      <w:r w:rsidRPr="006C2DA7">
        <w:rPr>
          <w:rStyle w:val="None"/>
        </w:rPr>
        <w:t xml:space="preserve"> may be due to a downstream increase in dopamine release (Oleson &amp; Cheer, 2012), as dopamine is involved in the seeking reward module (Kringelbach &amp; Berridge, 2009). It is more difficult to suggest specific correlates for the effects of THC on cognition and perception. </w:t>
      </w:r>
      <w:r w:rsidR="003739F8">
        <w:rPr>
          <w:rStyle w:val="None"/>
        </w:rPr>
        <w:t>Stll, t</w:t>
      </w:r>
      <w:r w:rsidRPr="006C2DA7">
        <w:rPr>
          <w:rStyle w:val="None"/>
        </w:rPr>
        <w:t>he common occurrence of CB1 receptors within the workspace is probably responsible</w:t>
      </w:r>
      <w:r w:rsidR="003739F8">
        <w:rPr>
          <w:rStyle w:val="None"/>
        </w:rPr>
        <w:t xml:space="preserve"> for these effects</w:t>
      </w:r>
      <w:r w:rsidRPr="006C2DA7">
        <w:rPr>
          <w:rStyle w:val="None"/>
        </w:rPr>
        <w:t>, which suggests that the endocannabinoids are involved in the broadcasting process.</w:t>
      </w:r>
    </w:p>
    <w:p w:rsidR="001000A3" w:rsidRPr="006C2DA7" w:rsidRDefault="001000A3" w:rsidP="006C2DA7">
      <w:pPr>
        <w:pStyle w:val="Brdtekst"/>
        <w:tabs>
          <w:tab w:val="left" w:pos="426"/>
        </w:tabs>
        <w:spacing w:line="360" w:lineRule="auto"/>
        <w:ind w:right="421" w:firstLine="426"/>
        <w:rPr>
          <w:rStyle w:val="None"/>
        </w:rPr>
      </w:pPr>
    </w:p>
    <w:p w:rsidR="001000A3" w:rsidRPr="006C2DA7" w:rsidRDefault="00462402" w:rsidP="006C2DA7">
      <w:pPr>
        <w:pStyle w:val="Brdtekst"/>
        <w:tabs>
          <w:tab w:val="left" w:pos="426"/>
        </w:tabs>
        <w:spacing w:line="360" w:lineRule="auto"/>
        <w:ind w:right="421" w:firstLine="426"/>
        <w:jc w:val="center"/>
        <w:rPr>
          <w:b/>
          <w:bCs/>
        </w:rPr>
      </w:pPr>
      <w:r w:rsidRPr="006C2DA7">
        <w:rPr>
          <w:b/>
          <w:bCs/>
        </w:rPr>
        <w:t>Dissociatives</w:t>
      </w:r>
    </w:p>
    <w:p w:rsidR="001000A3" w:rsidRPr="006C2DA7" w:rsidRDefault="001000A3" w:rsidP="00CA7333">
      <w:pPr>
        <w:pStyle w:val="Brdtekst"/>
        <w:tabs>
          <w:tab w:val="left" w:pos="426"/>
        </w:tabs>
        <w:spacing w:line="360" w:lineRule="auto"/>
        <w:ind w:right="421" w:firstLine="426"/>
        <w:rPr>
          <w:rStyle w:val="None"/>
        </w:rPr>
      </w:pPr>
    </w:p>
    <w:p w:rsidR="001000A3" w:rsidRPr="006C2DA7" w:rsidRDefault="00462402" w:rsidP="00CA7333">
      <w:pPr>
        <w:pStyle w:val="Brdtekst"/>
        <w:tabs>
          <w:tab w:val="left" w:pos="426"/>
        </w:tabs>
        <w:spacing w:line="360" w:lineRule="auto"/>
        <w:ind w:right="421" w:firstLine="426"/>
        <w:rPr>
          <w:rStyle w:val="None"/>
        </w:rPr>
      </w:pPr>
      <w:r w:rsidRPr="006C2DA7">
        <w:rPr>
          <w:rStyle w:val="None"/>
        </w:rPr>
        <w:t>One unique attribute of dissociatives, such as ketamine and PCP (phencyclidine), is their capacity to reliably produce a sense of detachment from the immediate situation or environment (Sassano</w:t>
      </w:r>
      <w:r w:rsidRPr="006C2DA7">
        <w:rPr>
          <w:rStyle w:val="None"/>
          <w:rFonts w:ascii="Arial Unicode MS" w:eastAsia="Arial Unicode MS" w:hAnsi="Arial Unicode MS" w:cs="Arial Unicode MS"/>
        </w:rPr>
        <w:t>‐</w:t>
      </w:r>
      <w:r w:rsidRPr="006C2DA7">
        <w:rPr>
          <w:rStyle w:val="None"/>
        </w:rPr>
        <w:t>Higgins et al., 2016). The external world is perceived as dreamlike or unreal. The detachment can also include depersonalization, which involves feeling detached from one’s body or sense of self</w:t>
      </w:r>
      <w:r w:rsidR="004C5927">
        <w:rPr>
          <w:rStyle w:val="None"/>
        </w:rPr>
        <w:t xml:space="preserve">: </w:t>
      </w:r>
      <w:r w:rsidRPr="006C2DA7">
        <w:rPr>
          <w:rStyle w:val="None"/>
        </w:rPr>
        <w:t xml:space="preserve">The individual is able to observe his or her actions, but does not feel responsible for, or in control of, the actions. Looking in a mirror, the subject may fail to recognize whose image is reflected, while maintaining rational awareness as to the identity of the onlooker. </w:t>
      </w:r>
      <w:r w:rsidR="004C5927">
        <w:rPr>
          <w:rStyle w:val="None"/>
        </w:rPr>
        <w:t>Dissociatives</w:t>
      </w:r>
      <w:r w:rsidRPr="006C2DA7">
        <w:rPr>
          <w:rStyle w:val="None"/>
        </w:rPr>
        <w:t xml:space="preserve"> can also distort sensory perception and produce hallucinations. Higher doses lead to complete loss of consciousness, as when used in anesthesia.</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The out-of-body experience is analogous to the deficit in self-awareness present in people diagnosed with anosognosia or depersonalization disorder (Sierra &amp; Berrios, 2001). Certain regions of the cortex, within the frontal, temporal and parietal lobes of the right hemisphere, are often damaged in individuals with anosognosia (Vuilleumier, 2004).</w:t>
      </w:r>
      <w:r w:rsidR="00C871FF">
        <w:rPr>
          <w:rStyle w:val="None"/>
        </w:rPr>
        <w:t xml:space="preserve"> </w:t>
      </w:r>
      <w:r w:rsidRPr="006C2DA7">
        <w:rPr>
          <w:rStyle w:val="None"/>
        </w:rPr>
        <w:t>Interestingly, an out-of-body experience can also be induced by stimulating the brain with electrodes applied to the border area between the parietal and temporal lobes (Blanke &amp; Arzy, 2005; De Ridder, Van Laere, Dupont, Menovsky, &amp; Van de Heyning, 2007).</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Ketamine and PCP bind as antagonists on the N-Methyl-D-aspartate (NMDA) type of glutamate receptor (Kamilar-Britt &amp; Bedi, 2015). Glutamate is the most abundant excitatory neurotransmitter, and the NMDA receptors are widespread in the brain. Antagonists at this receptor are expected to decrease neuronal activity, which may explain the analgesic and cataleptic effects when used in higher doses. Based on MRI data, ketamine </w:t>
      </w:r>
      <w:r w:rsidR="00F81FEF" w:rsidRPr="006C2DA7">
        <w:rPr>
          <w:rStyle w:val="None"/>
        </w:rPr>
        <w:t>affects</w:t>
      </w:r>
      <w:r w:rsidRPr="006C2DA7">
        <w:rPr>
          <w:rStyle w:val="None"/>
        </w:rPr>
        <w:t xml:space="preserve"> activity in both cortical and subcortical parts of the brain; however, the reported feeling of dissociation corresponds more specifically to an area on the inner part of the cortex where the frontal and parietal lobes meet (Stone et al., 2015). This location is in reasonable agreement with the information discussed in the previous paragraph, substantiating that the area is important for a module that generates self-awareness.</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Users of classical psychedelics typically report a feeling of "unity," "ego dissolution," or "oneness with all</w:t>
      </w:r>
      <w:r w:rsidRPr="006C2DA7">
        <w:t>"</w:t>
      </w:r>
      <w:r w:rsidRPr="006C2DA7">
        <w:rPr>
          <w:rStyle w:val="None"/>
        </w:rPr>
        <w:t xml:space="preserve"> (Swanson, 2018). These descriptions appear to be related to the experience of dissociation </w:t>
      </w:r>
      <w:r w:rsidR="00590C12">
        <w:rPr>
          <w:rStyle w:val="None"/>
        </w:rPr>
        <w:t>engendered</w:t>
      </w:r>
      <w:r w:rsidRPr="006C2DA7">
        <w:rPr>
          <w:rStyle w:val="None"/>
        </w:rPr>
        <w:t xml:space="preserve"> by ketamine, but may depend on a different neurobiological correlate. While the ketamine effect presumably reflects an inhibition of NMDA receptors in the parietal-temporal border region, the classical psychedelics may engender ego dissolution as a consequence of their capacity to disrupt broadcasting. If a person fails to recognize present experiences as related to those experienced before, the conclusion might be that the experiences are not stemming from </w:t>
      </w:r>
      <w:r w:rsidR="00C871FF">
        <w:rPr>
          <w:rStyle w:val="None"/>
        </w:rPr>
        <w:t>his or her</w:t>
      </w:r>
      <w:r w:rsidRPr="006C2DA7">
        <w:rPr>
          <w:rStyle w:val="None"/>
        </w:rPr>
        <w:t xml:space="preserve"> brain.</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Salvinorin A, which is obtained from the plant </w:t>
      </w:r>
      <w:r w:rsidRPr="006C2DA7">
        <w:rPr>
          <w:rStyle w:val="None"/>
          <w:i/>
          <w:iCs/>
        </w:rPr>
        <w:t>Salvia divinorum</w:t>
      </w:r>
      <w:r w:rsidRPr="006C2DA7">
        <w:rPr>
          <w:rStyle w:val="None"/>
        </w:rPr>
        <w:t xml:space="preserve">, exerts both hallucinogenic and dissociative effects. The substance is primarily a potent κ-opioid agonist (Roth et al., 2002), and based on co-administration of relevant antagonists, the psychotropic effect appears to rely on κ-opioid receptors (Maqueda et al., 2016; Zhang, Butelman, Schlussman, Ho, &amp; Kreek, 2005). Like other κ-opioid agonists, </w:t>
      </w:r>
      <w:r w:rsidR="00C871FF">
        <w:rPr>
          <w:rStyle w:val="None"/>
        </w:rPr>
        <w:t>salvinorin A causes</w:t>
      </w:r>
      <w:r w:rsidRPr="006C2DA7">
        <w:rPr>
          <w:rStyle w:val="None"/>
        </w:rPr>
        <w:t xml:space="preserve"> sedation and anhedonia, but </w:t>
      </w:r>
      <w:r w:rsidR="00C871FF">
        <w:rPr>
          <w:rStyle w:val="None"/>
        </w:rPr>
        <w:t xml:space="preserve">it </w:t>
      </w:r>
      <w:r w:rsidRPr="006C2DA7">
        <w:rPr>
          <w:rStyle w:val="None"/>
        </w:rPr>
        <w:t xml:space="preserve">also </w:t>
      </w:r>
      <w:r w:rsidR="00C871FF">
        <w:rPr>
          <w:rStyle w:val="None"/>
        </w:rPr>
        <w:t xml:space="preserve">produces </w:t>
      </w:r>
      <w:r w:rsidRPr="006C2DA7">
        <w:rPr>
          <w:rStyle w:val="None"/>
        </w:rPr>
        <w:t>symptoms of psychosis, including delusions (Butelman &amp; Kreek, 2015).</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The above discussion suggests th</w:t>
      </w:r>
      <w:r w:rsidR="00590C12">
        <w:rPr>
          <w:rStyle w:val="None"/>
        </w:rPr>
        <w:t>e existence of</w:t>
      </w:r>
      <w:r w:rsidRPr="006C2DA7">
        <w:rPr>
          <w:rStyle w:val="None"/>
        </w:rPr>
        <w:t xml:space="preserve"> a brain module designed to create a sense of self, and that this module helps to distinguish one’s body from the surroundings. The corresponding neural circuits are likely localized within the frontal, temporal, and parietal lobes, and the glutamatergic NMDA receptors serve a key role in maintaining relevant activity. The effect of salvinorin A suggests that κ-opioid receptors are also involved; in fact, ketamine binds weakly to these (and other) opioid receptors (Smith et al., 1987). One may hypothesize that disturbances of this module, rather than broadcasting, is responsible for the dissociative effect</w:t>
      </w:r>
      <w:r w:rsidR="00590C12">
        <w:rPr>
          <w:rStyle w:val="None"/>
        </w:rPr>
        <w:t xml:space="preserve"> of these substances</w:t>
      </w:r>
      <w:r w:rsidRPr="006C2DA7">
        <w:rPr>
          <w:rStyle w:val="None"/>
        </w:rPr>
        <w:t>.</w:t>
      </w:r>
    </w:p>
    <w:p w:rsidR="001000A3" w:rsidRPr="006C2DA7" w:rsidRDefault="001000A3" w:rsidP="006C2DA7">
      <w:pPr>
        <w:pStyle w:val="Brdtekst"/>
        <w:tabs>
          <w:tab w:val="left" w:pos="426"/>
        </w:tabs>
        <w:spacing w:line="360" w:lineRule="auto"/>
        <w:ind w:right="421" w:firstLine="426"/>
        <w:rPr>
          <w:rStyle w:val="None"/>
        </w:rPr>
      </w:pPr>
    </w:p>
    <w:p w:rsidR="001000A3" w:rsidRPr="006C2DA7" w:rsidRDefault="00462402" w:rsidP="006C2DA7">
      <w:pPr>
        <w:pStyle w:val="Brdtekst"/>
        <w:tabs>
          <w:tab w:val="left" w:pos="426"/>
        </w:tabs>
        <w:spacing w:line="360" w:lineRule="auto"/>
        <w:ind w:right="421" w:firstLine="426"/>
        <w:jc w:val="center"/>
        <w:rPr>
          <w:b/>
          <w:bCs/>
        </w:rPr>
      </w:pPr>
      <w:r w:rsidRPr="006C2DA7">
        <w:rPr>
          <w:b/>
          <w:bCs/>
        </w:rPr>
        <w:t>Deliriants</w:t>
      </w:r>
    </w:p>
    <w:p w:rsidR="001000A3" w:rsidRPr="006C2DA7" w:rsidRDefault="001000A3" w:rsidP="006C2DA7">
      <w:pPr>
        <w:pStyle w:val="Brdtekst"/>
        <w:tabs>
          <w:tab w:val="left" w:pos="426"/>
        </w:tabs>
        <w:spacing w:line="360" w:lineRule="auto"/>
        <w:ind w:right="421" w:firstLine="426"/>
        <w:rPr>
          <w:rStyle w:val="None"/>
        </w:rPr>
      </w:pPr>
    </w:p>
    <w:p w:rsidR="001000A3" w:rsidRPr="006C2DA7" w:rsidRDefault="00462402" w:rsidP="006C2DA7">
      <w:pPr>
        <w:pStyle w:val="Brdtekst"/>
        <w:tabs>
          <w:tab w:val="left" w:pos="426"/>
        </w:tabs>
        <w:spacing w:line="360" w:lineRule="auto"/>
        <w:ind w:right="421" w:firstLine="426"/>
        <w:rPr>
          <w:rStyle w:val="None"/>
        </w:rPr>
      </w:pPr>
      <w:r w:rsidRPr="006C2DA7">
        <w:rPr>
          <w:rStyle w:val="None"/>
        </w:rPr>
        <w:t>Delirium implies a state of confusion that may include hallucinations, memory impairment, cognitive deficits, restlessness, and agitation. Th</w:t>
      </w:r>
      <w:r w:rsidR="00052ED8">
        <w:rPr>
          <w:rStyle w:val="None"/>
        </w:rPr>
        <w:t>is</w:t>
      </w:r>
      <w:r w:rsidRPr="006C2DA7">
        <w:rPr>
          <w:rStyle w:val="None"/>
        </w:rPr>
        <w:t xml:space="preserve"> state is common in psychosis and other mental disorders, but can also be evoked by deliriants (Volgin et al., 2019). The affective and cognitive effects of deliriants are less well studied compared with other psychedelics. Although there are several examples of the use of deliriants for recreational purposes, they are generally regarded as noxious, as the state of delirium or confusion is not particularly pleasant.</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Compounds that induce delirium are found in a number of plants and mushrooms. Plants in the nightshade family contain hyoscine (also referred to as scopolamine), nutmeg </w:t>
      </w:r>
      <w:r w:rsidR="00EE4B75">
        <w:rPr>
          <w:rStyle w:val="None"/>
        </w:rPr>
        <w:t>contains</w:t>
      </w:r>
      <w:r w:rsidRPr="006C2DA7">
        <w:rPr>
          <w:rStyle w:val="None"/>
        </w:rPr>
        <w:t xml:space="preserve"> myristicin, belladonna </w:t>
      </w:r>
      <w:r w:rsidR="00EE4B75">
        <w:rPr>
          <w:rStyle w:val="None"/>
        </w:rPr>
        <w:t xml:space="preserve">contains </w:t>
      </w:r>
      <w:r w:rsidRPr="006C2DA7">
        <w:rPr>
          <w:rStyle w:val="None"/>
        </w:rPr>
        <w:t>atropine, while fly agaric mushroom contains muscimol. Several of these substances have a history of medical use. One of the best-studied deliriants, hyoscine, was originally developed for treat</w:t>
      </w:r>
      <w:r w:rsidR="00EE4B75">
        <w:rPr>
          <w:rStyle w:val="None"/>
        </w:rPr>
        <w:t>ing</w:t>
      </w:r>
      <w:r w:rsidRPr="006C2DA7">
        <w:rPr>
          <w:rStyle w:val="None"/>
        </w:rPr>
        <w:t xml:space="preserve"> motion sickness. Typical deliriants are anticholinergics in that they act as antagonists of the muscarinic type of acetylcholine receptors, although some, like muscimol, are GABA receptor agonists (Volgin et al., 2019).</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The more pronounced effects of deliriants are likely to reflect activity in subcortical parts of the brain (Volgin et al., 2019) and may be due to an imbalance of dopaminergic stimulation in the mesolimbic system as a consequence of impair</w:t>
      </w:r>
      <w:r w:rsidR="00C038DF">
        <w:rPr>
          <w:rStyle w:val="None"/>
        </w:rPr>
        <w:t>ed</w:t>
      </w:r>
      <w:r w:rsidRPr="006C2DA7">
        <w:rPr>
          <w:rStyle w:val="None"/>
        </w:rPr>
        <w:t xml:space="preserve"> muscarinic receptors (Trzepacz, 2000). It is not clear what causes the hallucinogenic effect, but it may be due to a general disturbance of brain activity. Perhaps the hallucinations </w:t>
      </w:r>
      <w:r w:rsidR="00F81FEF" w:rsidRPr="006C2DA7">
        <w:rPr>
          <w:rStyle w:val="None"/>
        </w:rPr>
        <w:t>occurring</w:t>
      </w:r>
      <w:r w:rsidRPr="006C2DA7">
        <w:rPr>
          <w:rStyle w:val="None"/>
        </w:rPr>
        <w:t xml:space="preserve"> in various mental disorders</w:t>
      </w:r>
      <w:r w:rsidR="00D269BE">
        <w:rPr>
          <w:rStyle w:val="None"/>
        </w:rPr>
        <w:t xml:space="preserve"> reflect</w:t>
      </w:r>
      <w:r w:rsidRPr="006C2DA7">
        <w:rPr>
          <w:rStyle w:val="None"/>
        </w:rPr>
        <w:t xml:space="preserve"> similar disturbances. That is, the hallucinations do not require specific action on particular neurotransmitter systems</w:t>
      </w:r>
      <w:r w:rsidR="00C038DF">
        <w:rPr>
          <w:rStyle w:val="None"/>
        </w:rPr>
        <w:t xml:space="preserve">; </w:t>
      </w:r>
      <w:r w:rsidRPr="006C2DA7">
        <w:rPr>
          <w:rStyle w:val="None"/>
        </w:rPr>
        <w:t>a more general dysfunction may similarly derail normal experiences. In line with this notion, derailed experiences are also observed as a consequence of strokes (Stangeland, Orgeta, &amp; Bell, 2018) and epileptic seizures (Wheless, Willmore, &amp; Brumback, 2009).</w:t>
      </w:r>
    </w:p>
    <w:p w:rsidR="001000A3" w:rsidRPr="006C2DA7" w:rsidRDefault="001000A3" w:rsidP="00207C3D">
      <w:pPr>
        <w:pStyle w:val="Brdtekst"/>
        <w:tabs>
          <w:tab w:val="left" w:pos="426"/>
        </w:tabs>
        <w:spacing w:line="360" w:lineRule="auto"/>
        <w:ind w:right="421" w:firstLine="426"/>
        <w:rPr>
          <w:rStyle w:val="None"/>
        </w:rPr>
      </w:pPr>
    </w:p>
    <w:p w:rsidR="001000A3" w:rsidRPr="006C2DA7" w:rsidRDefault="00462402" w:rsidP="00207C3D">
      <w:pPr>
        <w:pStyle w:val="Heading"/>
        <w:tabs>
          <w:tab w:val="left" w:pos="426"/>
        </w:tabs>
        <w:ind w:left="0" w:right="421" w:firstLine="426"/>
        <w:rPr>
          <w:rStyle w:val="None"/>
          <w:rFonts w:ascii="Times New Roman" w:hAnsi="Times New Roman" w:cs="Times New Roman"/>
          <w:b w:val="0"/>
          <w:bCs w:val="0"/>
          <w:sz w:val="24"/>
          <w:szCs w:val="24"/>
        </w:rPr>
      </w:pPr>
      <w:r w:rsidRPr="006C2DA7">
        <w:rPr>
          <w:rStyle w:val="None"/>
        </w:rPr>
        <w:t>Discussion and Conclusion</w:t>
      </w:r>
    </w:p>
    <w:p w:rsidR="001000A3" w:rsidRPr="006C2DA7" w:rsidRDefault="001000A3" w:rsidP="00207C3D">
      <w:pPr>
        <w:pStyle w:val="Brdtekst"/>
        <w:tabs>
          <w:tab w:val="left" w:pos="426"/>
        </w:tabs>
        <w:spacing w:line="360" w:lineRule="auto"/>
        <w:ind w:right="421" w:firstLine="426"/>
        <w:rPr>
          <w:rStyle w:val="None"/>
          <w:rFonts w:ascii="Arial" w:eastAsia="Arial Unicode MS" w:hAnsi="Arial" w:cs="Arial Unicode MS"/>
          <w:b/>
          <w:bCs/>
          <w:sz w:val="32"/>
          <w:szCs w:val="32"/>
        </w:rPr>
      </w:pPr>
    </w:p>
    <w:p w:rsidR="001000A3" w:rsidRPr="006C2DA7" w:rsidRDefault="00462402" w:rsidP="00207C3D">
      <w:pPr>
        <w:pStyle w:val="Brdtekst"/>
        <w:tabs>
          <w:tab w:val="left" w:pos="426"/>
        </w:tabs>
        <w:spacing w:line="360" w:lineRule="auto"/>
        <w:ind w:right="421" w:firstLine="426"/>
        <w:jc w:val="center"/>
        <w:rPr>
          <w:b/>
          <w:bCs/>
        </w:rPr>
      </w:pPr>
      <w:r w:rsidRPr="006C2DA7">
        <w:rPr>
          <w:b/>
          <w:bCs/>
        </w:rPr>
        <w:t>Relevance for the Study of Consciousness</w:t>
      </w:r>
    </w:p>
    <w:p w:rsidR="001000A3" w:rsidRPr="006C2DA7" w:rsidRDefault="001000A3" w:rsidP="00207C3D">
      <w:pPr>
        <w:pStyle w:val="Brdtekst"/>
        <w:tabs>
          <w:tab w:val="left" w:pos="426"/>
        </w:tabs>
        <w:spacing w:line="360" w:lineRule="auto"/>
        <w:ind w:right="421" w:firstLine="426"/>
        <w:rPr>
          <w:rStyle w:val="None"/>
        </w:rPr>
      </w:pPr>
    </w:p>
    <w:p w:rsidR="001000A3" w:rsidRPr="006C2DA7" w:rsidRDefault="00462402" w:rsidP="006C2DA7">
      <w:pPr>
        <w:pStyle w:val="Brdtekst"/>
        <w:tabs>
          <w:tab w:val="left" w:pos="426"/>
        </w:tabs>
        <w:spacing w:line="360" w:lineRule="auto"/>
        <w:ind w:right="421" w:firstLine="426"/>
        <w:rPr>
          <w:rStyle w:val="None"/>
        </w:rPr>
      </w:pPr>
      <w:r w:rsidRPr="006C2DA7">
        <w:rPr>
          <w:rStyle w:val="None"/>
        </w:rPr>
        <w:t>In the present model, we distinguish between modules that prepare information for broadcasting and the actual broadcasting required</w:t>
      </w:r>
      <w:r w:rsidR="00D269BE">
        <w:rPr>
          <w:rStyle w:val="None"/>
        </w:rPr>
        <w:t xml:space="preserve"> for information</w:t>
      </w:r>
      <w:r w:rsidRPr="006C2DA7">
        <w:rPr>
          <w:rStyle w:val="None"/>
        </w:rPr>
        <w:t xml:space="preserve"> to reach consciousness. Substances that affect either </w:t>
      </w:r>
      <w:r w:rsidR="00E608C0">
        <w:rPr>
          <w:rStyle w:val="None"/>
        </w:rPr>
        <w:t xml:space="preserve">or both </w:t>
      </w:r>
      <w:r w:rsidRPr="006C2DA7">
        <w:rPr>
          <w:rStyle w:val="None"/>
        </w:rPr>
        <w:t>of these processes are expected to change what a person experiences</w:t>
      </w:r>
      <w:r w:rsidR="00D269BE">
        <w:rPr>
          <w:rStyle w:val="None"/>
        </w:rPr>
        <w:t>,</w:t>
      </w:r>
      <w:r w:rsidRPr="006C2DA7">
        <w:rPr>
          <w:rStyle w:val="None"/>
        </w:rPr>
        <w:t xml:space="preserve"> and may thus help us understand the underlying neurobiological activity</w:t>
      </w:r>
      <w:r w:rsidR="00E608C0">
        <w:rPr>
          <w:rStyle w:val="None"/>
        </w:rPr>
        <w:t xml:space="preserve"> and consciousness more generally</w:t>
      </w:r>
      <w:r w:rsidRPr="006C2DA7">
        <w:rPr>
          <w:rStyle w:val="None"/>
        </w:rPr>
        <w:t>.</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Researchers have suggested that psychedelics enhance or alter consciousness by restraining a gating mechanism that filters which elements are to be broadcasted (Bayne &amp; Carter, 2018; Swanson, 2018). The apparent enhancement of consciousness may be due to both a reduction in filtering</w:t>
      </w:r>
      <w:r w:rsidR="00D269BE">
        <w:rPr>
          <w:rStyle w:val="None"/>
        </w:rPr>
        <w:t>,</w:t>
      </w:r>
      <w:r w:rsidRPr="006C2DA7">
        <w:rPr>
          <w:rStyle w:val="None"/>
        </w:rPr>
        <w:t xml:space="preserve"> </w:t>
      </w:r>
      <w:r w:rsidR="00E608C0">
        <w:rPr>
          <w:rStyle w:val="None"/>
        </w:rPr>
        <w:t>stimulating</w:t>
      </w:r>
      <w:r w:rsidRPr="006C2DA7">
        <w:rPr>
          <w:rStyle w:val="None"/>
        </w:rPr>
        <w:t xml:space="preserve"> a flood of conscious content</w:t>
      </w:r>
      <w:r w:rsidR="00D269BE">
        <w:rPr>
          <w:rStyle w:val="None"/>
        </w:rPr>
        <w:t>,</w:t>
      </w:r>
      <w:r w:rsidRPr="006C2DA7">
        <w:rPr>
          <w:rStyle w:val="None"/>
        </w:rPr>
        <w:t xml:space="preserve"> and to the unique and novel quality of the experiences produced. In </w:t>
      </w:r>
      <w:r w:rsidR="00D269BE">
        <w:rPr>
          <w:rStyle w:val="None"/>
        </w:rPr>
        <w:t>the present</w:t>
      </w:r>
      <w:r w:rsidRPr="006C2DA7">
        <w:rPr>
          <w:rStyle w:val="None"/>
        </w:rPr>
        <w:t xml:space="preserve"> terms, it may be a </w:t>
      </w:r>
      <w:r w:rsidR="00E608C0">
        <w:rPr>
          <w:rStyle w:val="None"/>
        </w:rPr>
        <w:t>matter</w:t>
      </w:r>
      <w:r w:rsidRPr="006C2DA7">
        <w:rPr>
          <w:rStyle w:val="None"/>
        </w:rPr>
        <w:t xml:space="preserve"> of both more bubbles rising to the surface and their "distorted shape." The notion of "altered states of consciousness" may simply reflect that the experience is overwhelming and novel, not </w:t>
      </w:r>
      <w:r w:rsidR="007A0BF0" w:rsidRPr="006C2DA7">
        <w:rPr>
          <w:rStyle w:val="None"/>
        </w:rPr>
        <w:t>that psychedelics</w:t>
      </w:r>
      <w:r w:rsidRPr="006C2DA7">
        <w:rPr>
          <w:rStyle w:val="None"/>
        </w:rPr>
        <w:t xml:space="preserve"> create a fundamentally different, or enhanced, state of mind. In line with this interpretation, ketamine (in sub-anesthetic doses) increases signal diversity (or complexity) of spontaneous EEG, but this effect of ketamine is not evidenced in EEG evoked by transcranial magnetic stimulation (TMS) (Farnes, Juel, Nilsen, Romundstad, &amp; Storm, 2019). TMS-evoked complexity of EEG is used to probe the level of consciousness – meaning the degree of arousal or wakefulness</w:t>
      </w:r>
      <w:r w:rsidR="000C197F">
        <w:rPr>
          <w:rStyle w:val="None"/>
        </w:rPr>
        <w:t xml:space="preserve">, which </w:t>
      </w:r>
      <w:r w:rsidRPr="006C2DA7">
        <w:rPr>
          <w:rStyle w:val="None"/>
        </w:rPr>
        <w:t>suggests that ketamine alters conscious content rather than level of consciousness.</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Another line of thought is that psychedelics foster insight and improve creativity</w:t>
      </w:r>
      <w:r w:rsidR="00BB19B7">
        <w:rPr>
          <w:rStyle w:val="None"/>
        </w:rPr>
        <w:t xml:space="preserve"> by enhancing</w:t>
      </w:r>
      <w:r w:rsidRPr="006C2DA7">
        <w:rPr>
          <w:rStyle w:val="None"/>
        </w:rPr>
        <w:t xml:space="preserve"> divergent thinking and problem solving (Harman, McKim, Mogar, Fadiman, &amp; Stolaroff, 1966; Sweat, Bates, &amp; Hendricks, 2016). Flooding the mind with unique experiences appears to be conducive to novel thoughts and thereby creative solutions (Frecska, Móré, Vargha, &amp; Luna, 2012), even when</w:t>
      </w:r>
      <w:r w:rsidRPr="006C2DA7">
        <w:t xml:space="preserve"> working memory and directed attention are temporarily impaired. </w:t>
      </w:r>
      <w:r w:rsidRPr="006C2DA7">
        <w:rPr>
          <w:rStyle w:val="None"/>
        </w:rPr>
        <w:t>On the other hand, researchers have suggested that psychedelics do not improve the capacity to distinguish "real" insight from simply a feeling that one’s thoughts are more profound</w:t>
      </w:r>
      <w:r w:rsidR="00E608C0">
        <w:rPr>
          <w:rStyle w:val="None"/>
        </w:rPr>
        <w:t xml:space="preserve"> or creative</w:t>
      </w:r>
      <w:r w:rsidRPr="006C2DA7">
        <w:rPr>
          <w:rStyle w:val="None"/>
        </w:rPr>
        <w:t xml:space="preserve"> (Bayne &amp; Carter, 2018).</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Perhaps the effect of psychedelics ought to be demystified. They seem to be best described as agents that act on either modules designed to deliver conscious content or the process of conscious broadcasting. As such, they have considerable potential to improve our understanding of the brain, but the primary source of increased knowledge will likely come through scientific explorations rather than introspection. Future lines of investigation should include experiments that elucidate the detailed neurobiological effects of the various </w:t>
      </w:r>
      <w:r w:rsidR="00CB4D2E">
        <w:rPr>
          <w:rStyle w:val="None"/>
        </w:rPr>
        <w:t xml:space="preserve">psychedelic </w:t>
      </w:r>
      <w:r w:rsidRPr="006C2DA7">
        <w:rPr>
          <w:rStyle w:val="None"/>
        </w:rPr>
        <w:t xml:space="preserve">substances </w:t>
      </w:r>
      <w:r w:rsidR="00CB4D2E">
        <w:rPr>
          <w:rStyle w:val="None"/>
        </w:rPr>
        <w:t xml:space="preserve">reviewed </w:t>
      </w:r>
      <w:r w:rsidRPr="006C2DA7">
        <w:rPr>
          <w:rStyle w:val="None"/>
        </w:rPr>
        <w:t>and how these effects correlate with subjective experiences in humans and observable changes in animals.</w:t>
      </w:r>
    </w:p>
    <w:p w:rsidR="001000A3" w:rsidRPr="006C2DA7" w:rsidRDefault="001000A3" w:rsidP="006C2DA7">
      <w:pPr>
        <w:pStyle w:val="Brdtekst"/>
        <w:tabs>
          <w:tab w:val="left" w:pos="426"/>
        </w:tabs>
        <w:spacing w:line="360" w:lineRule="auto"/>
        <w:ind w:right="421" w:firstLine="426"/>
        <w:rPr>
          <w:rStyle w:val="None"/>
        </w:rPr>
      </w:pPr>
    </w:p>
    <w:p w:rsidR="001000A3" w:rsidRPr="006C2DA7" w:rsidRDefault="00462402" w:rsidP="006C2DA7">
      <w:pPr>
        <w:pStyle w:val="Brdtekst"/>
        <w:tabs>
          <w:tab w:val="left" w:pos="426"/>
        </w:tabs>
        <w:spacing w:line="360" w:lineRule="auto"/>
        <w:ind w:right="421" w:firstLine="426"/>
        <w:jc w:val="center"/>
        <w:rPr>
          <w:b/>
          <w:bCs/>
        </w:rPr>
      </w:pPr>
      <w:r w:rsidRPr="006C2DA7">
        <w:rPr>
          <w:b/>
          <w:bCs/>
        </w:rPr>
        <w:t>Relevance for Mental Health</w:t>
      </w:r>
    </w:p>
    <w:p w:rsidR="001000A3" w:rsidRPr="006C2DA7" w:rsidRDefault="001000A3" w:rsidP="006C2DA7">
      <w:pPr>
        <w:pStyle w:val="Brdtekst"/>
        <w:tabs>
          <w:tab w:val="left" w:pos="426"/>
        </w:tabs>
        <w:spacing w:line="360" w:lineRule="auto"/>
        <w:ind w:right="421" w:firstLine="426"/>
        <w:rPr>
          <w:rStyle w:val="None"/>
        </w:rPr>
      </w:pP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Compared to other animals, the human brain may be particularly malleable, as reflected in the importance of learning for our species and the observation that human infants require more time to reach maturity. That is, we probably rely more on brain plasticity than other species. Feelings, in the form of good or bad experiences, are meant to guide the process of learning </w:t>
      </w:r>
      <w:r w:rsidR="00BB19B7">
        <w:rPr>
          <w:rStyle w:val="None"/>
        </w:rPr>
        <w:t>(</w:t>
      </w:r>
      <w:r w:rsidRPr="006C2DA7">
        <w:rPr>
          <w:rStyle w:val="None"/>
        </w:rPr>
        <w:t>and adaptation to the environment</w:t>
      </w:r>
      <w:r w:rsidR="00BB19B7">
        <w:rPr>
          <w:rStyle w:val="None"/>
        </w:rPr>
        <w:t>)</w:t>
      </w:r>
      <w:r w:rsidRPr="006C2DA7">
        <w:rPr>
          <w:rStyle w:val="None"/>
        </w:rPr>
        <w:t xml:space="preserve"> by labelling situations as desirable or undesirable for future reference</w:t>
      </w:r>
      <w:r w:rsidR="00E608C0">
        <w:rPr>
          <w:rStyle w:val="None"/>
        </w:rPr>
        <w:t xml:space="preserve"> and decision making</w:t>
      </w:r>
      <w:r w:rsidRPr="006C2DA7">
        <w:rPr>
          <w:rStyle w:val="None"/>
        </w:rPr>
        <w:t xml:space="preserve">. Thus, a strong emotional impact will tend to </w:t>
      </w:r>
      <w:r w:rsidR="00DC3818">
        <w:rPr>
          <w:rStyle w:val="None"/>
        </w:rPr>
        <w:t>exert</w:t>
      </w:r>
      <w:r w:rsidRPr="006C2DA7">
        <w:rPr>
          <w:rStyle w:val="None"/>
        </w:rPr>
        <w:t xml:space="preserve"> a relatively enduring effect on the mind. A bad trip may come back and haunt the person, whereas a good trip should </w:t>
      </w:r>
      <w:r w:rsidR="00DC3818">
        <w:rPr>
          <w:rStyle w:val="None"/>
        </w:rPr>
        <w:t xml:space="preserve">predictably </w:t>
      </w:r>
      <w:r w:rsidRPr="006C2DA7">
        <w:rPr>
          <w:rStyle w:val="None"/>
        </w:rPr>
        <w:t>elevate mood. To the extent that one can increase the probability that the hallucinogenic experience is positive</w:t>
      </w:r>
      <w:r w:rsidR="00BB19B7">
        <w:rPr>
          <w:rStyle w:val="None"/>
        </w:rPr>
        <w:t>, for example</w:t>
      </w:r>
      <w:r w:rsidR="00E608C0">
        <w:rPr>
          <w:rStyle w:val="None"/>
        </w:rPr>
        <w:t>,</w:t>
      </w:r>
      <w:r w:rsidRPr="006C2DA7">
        <w:rPr>
          <w:rStyle w:val="None"/>
        </w:rPr>
        <w:t xml:space="preserve"> by creating </w:t>
      </w:r>
      <w:r w:rsidR="00E608C0">
        <w:rPr>
          <w:rStyle w:val="None"/>
        </w:rPr>
        <w:t xml:space="preserve">a conducive </w:t>
      </w:r>
      <w:r w:rsidRPr="006C2DA7">
        <w:rPr>
          <w:rStyle w:val="None"/>
        </w:rPr>
        <w:t xml:space="preserve">setting in appropriately screened and prepared individuals, these substances </w:t>
      </w:r>
      <w:r w:rsidR="00DC3818">
        <w:rPr>
          <w:rStyle w:val="None"/>
        </w:rPr>
        <w:t>would be expected to</w:t>
      </w:r>
      <w:r w:rsidRPr="006C2DA7">
        <w:rPr>
          <w:rStyle w:val="None"/>
        </w:rPr>
        <w:t xml:space="preserve"> possess a therapeutic potential. Ketamine, psilocybin, ayahuasca, and MDMA have already proven useful in treat</w:t>
      </w:r>
      <w:r w:rsidR="00E608C0">
        <w:rPr>
          <w:rStyle w:val="None"/>
        </w:rPr>
        <w:t>ing</w:t>
      </w:r>
      <w:r w:rsidRPr="006C2DA7">
        <w:rPr>
          <w:rStyle w:val="None"/>
        </w:rPr>
        <w:t xml:space="preserve"> conditions including depression, anxiety, and addiction (Carhart- Harris et al., 2017; dos Santos et al., 2016; Mathew, Mathew, &amp; Zarate Jr, 2016).</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If the aim is to enhance mood, one might ask why substances like heroin and cocaine, which directly activate the reward modules, are not considered preferable therapeutic agents. The problem is that such direct activation engenders both </w:t>
      </w:r>
      <w:r w:rsidR="00DC3818">
        <w:rPr>
          <w:rStyle w:val="None"/>
        </w:rPr>
        <w:t xml:space="preserve">the potential for </w:t>
      </w:r>
      <w:r w:rsidRPr="006C2DA7">
        <w:rPr>
          <w:rStyle w:val="None"/>
        </w:rPr>
        <w:t xml:space="preserve">addiction and down-regulation </w:t>
      </w:r>
      <w:r w:rsidR="00655679" w:rsidRPr="006C2DA7">
        <w:rPr>
          <w:rStyle w:val="None"/>
        </w:rPr>
        <w:t>of positive</w:t>
      </w:r>
      <w:r w:rsidRPr="006C2DA7">
        <w:rPr>
          <w:rStyle w:val="None"/>
        </w:rPr>
        <w:t xml:space="preserve"> experiences. Moreover, the positive mood created by heroin and cocaine tends to rebound </w:t>
      </w:r>
      <w:r w:rsidR="00DC3818">
        <w:rPr>
          <w:rStyle w:val="None"/>
        </w:rPr>
        <w:t xml:space="preserve">or devolve </w:t>
      </w:r>
      <w:r w:rsidRPr="006C2DA7">
        <w:rPr>
          <w:rStyle w:val="None"/>
        </w:rPr>
        <w:t xml:space="preserve">into a negative state as the drugs dissipate from the brain. Accordingly, the indirect way of activating rewards, as in the case of psychedelics, offers advantages. The brain is designed to develop through experiences. In other words, the reward modules are properly exercised by what is perceived as a "learning" event, not by direct hits </w:t>
      </w:r>
      <w:r w:rsidR="00DC3818">
        <w:rPr>
          <w:rStyle w:val="None"/>
        </w:rPr>
        <w:t xml:space="preserve">or stimulation </w:t>
      </w:r>
      <w:r w:rsidRPr="006C2DA7">
        <w:rPr>
          <w:rStyle w:val="None"/>
        </w:rPr>
        <w:t>as delivered</w:t>
      </w:r>
      <w:r w:rsidR="003E5205">
        <w:rPr>
          <w:rStyle w:val="None"/>
        </w:rPr>
        <w:t xml:space="preserve"> via</w:t>
      </w:r>
      <w:r w:rsidRPr="006C2DA7">
        <w:rPr>
          <w:rStyle w:val="None"/>
        </w:rPr>
        <w:t xml:space="preserve"> heroin </w:t>
      </w:r>
      <w:r w:rsidR="00BB19B7">
        <w:rPr>
          <w:rStyle w:val="None"/>
        </w:rPr>
        <w:t>and</w:t>
      </w:r>
      <w:r w:rsidRPr="006C2DA7">
        <w:rPr>
          <w:rStyle w:val="None"/>
        </w:rPr>
        <w:t xml:space="preserve"> cocaine.</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The importance of learning implies that any novel situation may instigate a reward. Sensory stimuli, such as sights (Grinde, 1996) and sounds (Grinde, 2000), can also be rewarding. Boosting the complexity, novelty, or vividness of these stimuli is likely to enhance pleasure. Indeed, psychedelic users often report deep appreciation of musical sounds, regardless of whether the perceived sound is based on sensory input or on hallucinations (Zentner, Grandjean, &amp; Scherer, 2008).</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As with any medication, therapeutic use depends on whether the positive effects outweigh possible negative </w:t>
      </w:r>
      <w:r w:rsidR="00851759">
        <w:rPr>
          <w:rStyle w:val="None"/>
        </w:rPr>
        <w:t>side</w:t>
      </w:r>
      <w:r w:rsidRPr="006C2DA7">
        <w:rPr>
          <w:rStyle w:val="None"/>
        </w:rPr>
        <w:t xml:space="preserve"> effects. In the case of psychedelics, the cost-benefit balance is particularly difficult to predict as the outcome also depends on the "mental set" of the patient – the </w:t>
      </w:r>
      <w:r w:rsidR="00851759">
        <w:rPr>
          <w:rStyle w:val="None"/>
        </w:rPr>
        <w:t xml:space="preserve">expectancies of the consumer and the </w:t>
      </w:r>
      <w:r w:rsidRPr="006C2DA7">
        <w:rPr>
          <w:rStyle w:val="None"/>
        </w:rPr>
        <w:t>state of mind in which the substance is taken.</w:t>
      </w:r>
      <w:r w:rsidR="00C55DA6">
        <w:rPr>
          <w:rStyle w:val="None"/>
        </w:rPr>
        <w:t xml:space="preserve"> F</w:t>
      </w:r>
      <w:r w:rsidRPr="006C2DA7">
        <w:rPr>
          <w:rStyle w:val="None"/>
        </w:rPr>
        <w:t>eeling</w:t>
      </w:r>
      <w:r w:rsidR="00C55DA6">
        <w:rPr>
          <w:rStyle w:val="None"/>
        </w:rPr>
        <w:t>s</w:t>
      </w:r>
      <w:r w:rsidRPr="006C2DA7">
        <w:rPr>
          <w:rStyle w:val="None"/>
        </w:rPr>
        <w:t xml:space="preserve"> of security and a relaxed state of surrender are important elements that facilitate a profound and positive experience (Russ, Carhart-Harris, Maruyama, &amp; Elliott, 2019). As expected, the perceived intensity of the experience correlates with long-term effects on mental health (Nichols, 2016). The more </w:t>
      </w:r>
      <w:r w:rsidR="00C55DA6">
        <w:rPr>
          <w:rStyle w:val="None"/>
        </w:rPr>
        <w:t xml:space="preserve">the experience </w:t>
      </w:r>
      <w:r w:rsidRPr="006C2DA7">
        <w:rPr>
          <w:rStyle w:val="None"/>
        </w:rPr>
        <w:t>diverg</w:t>
      </w:r>
      <w:r w:rsidR="00C55DA6">
        <w:rPr>
          <w:rStyle w:val="None"/>
        </w:rPr>
        <w:t>es</w:t>
      </w:r>
      <w:r w:rsidRPr="006C2DA7">
        <w:rPr>
          <w:rStyle w:val="None"/>
        </w:rPr>
        <w:t xml:space="preserve"> from any previous </w:t>
      </w:r>
      <w:r w:rsidR="00C55DA6">
        <w:rPr>
          <w:rStyle w:val="None"/>
        </w:rPr>
        <w:t>experience</w:t>
      </w:r>
      <w:r w:rsidRPr="006C2DA7">
        <w:rPr>
          <w:rStyle w:val="None"/>
        </w:rPr>
        <w:t xml:space="preserve">, the more profound and intense the person is likely to consider it to be. Many users report that these substances induced the most meaningful event in their lives (Griffiths, Richards, Johnson, McCann, &amp; Jesse, 2008). Moreover, the positive effect typically lingers after the </w:t>
      </w:r>
      <w:r w:rsidR="00C55DA6">
        <w:rPr>
          <w:rStyle w:val="None"/>
        </w:rPr>
        <w:t xml:space="preserve">acute </w:t>
      </w:r>
      <w:r w:rsidRPr="006C2DA7">
        <w:rPr>
          <w:rStyle w:val="None"/>
        </w:rPr>
        <w:t>psychedelic experience (and the pharmacologic activity of the drug) has subsided</w:t>
      </w:r>
      <w:r w:rsidR="00C55DA6">
        <w:rPr>
          <w:rStyle w:val="None"/>
        </w:rPr>
        <w:t>--</w:t>
      </w:r>
      <w:r w:rsidRPr="006C2DA7">
        <w:rPr>
          <w:rStyle w:val="None"/>
        </w:rPr>
        <w:t>a phenomenon referred to as afterglow</w:t>
      </w:r>
      <w:r w:rsidR="00C55DA6">
        <w:rPr>
          <w:rStyle w:val="None"/>
        </w:rPr>
        <w:t>--</w:t>
      </w:r>
      <w:r w:rsidRPr="006C2DA7">
        <w:rPr>
          <w:rStyle w:val="None"/>
        </w:rPr>
        <w:t xml:space="preserve">which may </w:t>
      </w:r>
      <w:r w:rsidR="00C55DA6">
        <w:rPr>
          <w:rStyle w:val="None"/>
        </w:rPr>
        <w:t>facilitate</w:t>
      </w:r>
      <w:r w:rsidRPr="006C2DA7">
        <w:rPr>
          <w:rStyle w:val="None"/>
        </w:rPr>
        <w:t xml:space="preserve"> the therapeutic effect (Majić, Schmidt, &amp; Gallinat, 2015).</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Any positive experience may improve mental health, but the therapeutic potential of psychedelics seems to go beyond what one would expect to achieve merely by activating reward modules. We shall briefly discuss some additional factors that may help explain this assertion.</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Some substances, including ketamine, enhance brain plasticity, which has given rise to the term psychoplastogens (Olson, 2018). The effect</w:t>
      </w:r>
      <w:r w:rsidR="00851759">
        <w:rPr>
          <w:rStyle w:val="None"/>
        </w:rPr>
        <w:t xml:space="preserve"> on </w:t>
      </w:r>
      <w:r w:rsidR="007A0BF0">
        <w:rPr>
          <w:rStyle w:val="None"/>
        </w:rPr>
        <w:t>plasticity</w:t>
      </w:r>
      <w:r w:rsidRPr="006C2DA7">
        <w:rPr>
          <w:rStyle w:val="None"/>
        </w:rPr>
        <w:t xml:space="preserve"> is presumably related to the role of glutamate in general (Naughton, Clarke, Olivia, Cryan, &amp; Dinan, 2014)</w:t>
      </w:r>
      <w:r w:rsidR="001F7129">
        <w:rPr>
          <w:rStyle w:val="None"/>
        </w:rPr>
        <w:t>,</w:t>
      </w:r>
      <w:r w:rsidRPr="006C2DA7">
        <w:rPr>
          <w:rStyle w:val="None"/>
        </w:rPr>
        <w:t xml:space="preserve"> and the NMDA receptor in particular (Li &amp; Tsien, 2009)</w:t>
      </w:r>
      <w:r w:rsidR="001F7129">
        <w:rPr>
          <w:rStyle w:val="None"/>
        </w:rPr>
        <w:t>,</w:t>
      </w:r>
      <w:r w:rsidRPr="006C2DA7">
        <w:rPr>
          <w:rStyle w:val="None"/>
        </w:rPr>
        <w:t xml:space="preserve"> in controlling synaptic plasticity and memory. The induction of neuroplasticity, combined with stimulating strong and pleasant </w:t>
      </w:r>
      <w:r w:rsidR="00851759">
        <w:rPr>
          <w:rStyle w:val="None"/>
        </w:rPr>
        <w:t>emotions</w:t>
      </w:r>
      <w:r w:rsidRPr="006C2DA7">
        <w:rPr>
          <w:rStyle w:val="None"/>
        </w:rPr>
        <w:t xml:space="preserve">, may help explain the relatively long-term positive outcome in patients with mood disorders. The positive feeling is associated with NMDA-receptor-dependent inhibition of activity in the lateral habenula – an area of the brain associated with "anti-reward" (perhaps better designated as </w:t>
      </w:r>
      <w:r w:rsidRPr="006C2DA7">
        <w:t>"low mood"</w:t>
      </w:r>
      <w:r w:rsidRPr="006C2DA7">
        <w:rPr>
          <w:rStyle w:val="None"/>
        </w:rPr>
        <w:t>) activity (Yang et al., 2018).</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The dissociative effect, which is not limited to dissociative psychedelics such as ketamine, may imply an additional advantage in that the dissociation can disrupt </w:t>
      </w:r>
      <w:r w:rsidR="00851759">
        <w:rPr>
          <w:rStyle w:val="None"/>
        </w:rPr>
        <w:t xml:space="preserve">or inhibit </w:t>
      </w:r>
      <w:r w:rsidRPr="006C2DA7">
        <w:rPr>
          <w:rStyle w:val="None"/>
        </w:rPr>
        <w:t xml:space="preserve">negative rumination. MDMA, for example, allows the patient to disconnect from traumatic memories in a process referred to as memory reconsolidation and fear extinction (Feduccia &amp; Mithoefer, 2018). A related argument is </w:t>
      </w:r>
      <w:r w:rsidR="001F7129">
        <w:rPr>
          <w:rStyle w:val="None"/>
        </w:rPr>
        <w:t>connected with the ego dissolving effect of</w:t>
      </w:r>
      <w:r w:rsidRPr="006C2DA7">
        <w:rPr>
          <w:rStyle w:val="None"/>
        </w:rPr>
        <w:t xml:space="preserve"> psychedelics</w:t>
      </w:r>
      <w:r w:rsidR="001F7129">
        <w:rPr>
          <w:rStyle w:val="None"/>
        </w:rPr>
        <w:t xml:space="preserve">. The advantage of </w:t>
      </w:r>
      <w:r w:rsidRPr="006C2DA7">
        <w:rPr>
          <w:rStyle w:val="None"/>
        </w:rPr>
        <w:t xml:space="preserve">ego </w:t>
      </w:r>
      <w:r w:rsidR="001F7129">
        <w:rPr>
          <w:rStyle w:val="None"/>
        </w:rPr>
        <w:t xml:space="preserve">dissolution is presumably </w:t>
      </w:r>
      <w:r w:rsidRPr="006C2DA7">
        <w:rPr>
          <w:rStyle w:val="None"/>
        </w:rPr>
        <w:t xml:space="preserve">that the patient mitigates or eliminates ingrained patterns of thought and dysfunctional habits, </w:t>
      </w:r>
      <w:r w:rsidR="001F7129">
        <w:rPr>
          <w:rStyle w:val="None"/>
        </w:rPr>
        <w:t xml:space="preserve">such </w:t>
      </w:r>
      <w:r w:rsidR="0055728C">
        <w:rPr>
          <w:rStyle w:val="None"/>
        </w:rPr>
        <w:t xml:space="preserve">as </w:t>
      </w:r>
      <w:r w:rsidRPr="006C2DA7">
        <w:rPr>
          <w:rStyle w:val="None"/>
        </w:rPr>
        <w:t xml:space="preserve">addictions </w:t>
      </w:r>
      <w:r w:rsidR="001F7129">
        <w:rPr>
          <w:rStyle w:val="None"/>
        </w:rPr>
        <w:t>and</w:t>
      </w:r>
      <w:r w:rsidRPr="006C2DA7">
        <w:rPr>
          <w:rStyle w:val="None"/>
        </w:rPr>
        <w:t xml:space="preserve"> negative rumination. In the case of MDMA, trust in the therapist afforded by the empathogenic effect may enhance therapeutic value.</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Facilitating compassion is a two-fold way of improving happiness: (1) social relations offer strong rewards in</w:t>
      </w:r>
      <w:r w:rsidR="00851759">
        <w:rPr>
          <w:rStyle w:val="None"/>
        </w:rPr>
        <w:t xml:space="preserve"> enhancing</w:t>
      </w:r>
      <w:r w:rsidRPr="006C2DA7">
        <w:rPr>
          <w:rStyle w:val="None"/>
        </w:rPr>
        <w:t xml:space="preserve"> positive feelings (Grinde, 2009), and (2) an empathetic person will tend to socialize more, thus initiating a spiral of good feelings. This effect is not restricted to empathogens, as classical psychedelics also enhance sociability (Nichols, 2016).</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Many people report that psychedelics engender religious or mystical experiences (Johnson, Hendricks, Barrett, &amp; Griffiths, 2019). In fact, numerous cultures have independently used natural psychedelics for spiritual purposes (Merlin, 2003; Schultes, Hofmann, &amp; Rätsch, 2001). </w:t>
      </w:r>
      <w:r w:rsidR="00FD2433">
        <w:rPr>
          <w:rStyle w:val="None"/>
        </w:rPr>
        <w:t>A</w:t>
      </w:r>
      <w:r w:rsidRPr="006C2DA7">
        <w:rPr>
          <w:rStyle w:val="None"/>
        </w:rPr>
        <w:t>n innate tendency or proclivity for religiosity (Grinde, 2010)</w:t>
      </w:r>
      <w:r w:rsidR="00851759">
        <w:rPr>
          <w:rStyle w:val="None"/>
        </w:rPr>
        <w:t>, which is</w:t>
      </w:r>
      <w:r w:rsidRPr="006C2DA7">
        <w:rPr>
          <w:rStyle w:val="None"/>
        </w:rPr>
        <w:t xml:space="preserve"> </w:t>
      </w:r>
      <w:r w:rsidR="00FD2433" w:rsidRPr="006C2DA7">
        <w:rPr>
          <w:rStyle w:val="None"/>
        </w:rPr>
        <w:t>enhanced by the way p</w:t>
      </w:r>
      <w:r w:rsidR="00FD2433">
        <w:rPr>
          <w:rStyle w:val="None"/>
        </w:rPr>
        <w:t>sychedelics produce a sense of ego dissolution</w:t>
      </w:r>
      <w:r w:rsidR="00FD2433" w:rsidRPr="006C2DA7">
        <w:rPr>
          <w:rStyle w:val="None"/>
        </w:rPr>
        <w:t xml:space="preserve"> and "oneness with</w:t>
      </w:r>
      <w:r w:rsidR="00FD2433">
        <w:rPr>
          <w:rStyle w:val="None"/>
        </w:rPr>
        <w:t xml:space="preserve"> all" (Letheby &amp; Gerrans, 2017), </w:t>
      </w:r>
      <w:r w:rsidRPr="006C2DA7">
        <w:rPr>
          <w:rStyle w:val="None"/>
        </w:rPr>
        <w:t xml:space="preserve">would help to explain why people so eagerly consider the strange effect of psychedelics </w:t>
      </w:r>
      <w:r w:rsidR="00851759">
        <w:rPr>
          <w:rStyle w:val="None"/>
        </w:rPr>
        <w:t xml:space="preserve">to be imbued with </w:t>
      </w:r>
      <w:r w:rsidRPr="006C2DA7">
        <w:rPr>
          <w:rStyle w:val="None"/>
        </w:rPr>
        <w:t xml:space="preserve">spiritual significance (Johnson et al., 2018). </w:t>
      </w:r>
      <w:r w:rsidR="00FD2433">
        <w:rPr>
          <w:rStyle w:val="None"/>
        </w:rPr>
        <w:t xml:space="preserve"> </w:t>
      </w:r>
    </w:p>
    <w:p w:rsidR="001000A3" w:rsidRPr="006C2DA7" w:rsidRDefault="00462402" w:rsidP="006C2DA7">
      <w:pPr>
        <w:pStyle w:val="Brdtekst"/>
        <w:tabs>
          <w:tab w:val="left" w:pos="426"/>
        </w:tabs>
        <w:spacing w:line="360" w:lineRule="auto"/>
        <w:ind w:right="421" w:firstLine="426"/>
        <w:rPr>
          <w:rStyle w:val="None"/>
        </w:rPr>
      </w:pPr>
      <w:r w:rsidRPr="006C2DA7">
        <w:rPr>
          <w:rStyle w:val="None"/>
        </w:rPr>
        <w:t xml:space="preserve">Experiences that cater to spiritual tendencies are expected to be positive, as connecting with spirits or gods offers rewards (Grinde, 2005). Moreover, associating the effect </w:t>
      </w:r>
      <w:r w:rsidR="009D5F1E">
        <w:rPr>
          <w:rStyle w:val="None"/>
        </w:rPr>
        <w:t xml:space="preserve">of psychedelics </w:t>
      </w:r>
      <w:r w:rsidRPr="006C2DA7">
        <w:rPr>
          <w:rStyle w:val="None"/>
        </w:rPr>
        <w:t>with religious ideas implies a connection that makes the experience more enduring</w:t>
      </w:r>
      <w:r w:rsidR="007C30E0">
        <w:rPr>
          <w:rStyle w:val="None"/>
        </w:rPr>
        <w:t>, that is, more</w:t>
      </w:r>
      <w:r w:rsidRPr="006C2DA7">
        <w:rPr>
          <w:rStyle w:val="None"/>
        </w:rPr>
        <w:t xml:space="preserve"> robustly integrated in the</w:t>
      </w:r>
      <w:r w:rsidR="009D5F1E">
        <w:rPr>
          <w:rStyle w:val="None"/>
        </w:rPr>
        <w:t xml:space="preserve"> mind</w:t>
      </w:r>
      <w:r w:rsidRPr="006C2DA7">
        <w:rPr>
          <w:rStyle w:val="None"/>
        </w:rPr>
        <w:t>, thus reinforcing the positive effect. Finally, the religious setting combines the positive experience with the presence of a supporti</w:t>
      </w:r>
      <w:r w:rsidR="00F83F61">
        <w:rPr>
          <w:rStyle w:val="None"/>
        </w:rPr>
        <w:t>ve</w:t>
      </w:r>
      <w:r w:rsidRPr="006C2DA7">
        <w:rPr>
          <w:rStyle w:val="None"/>
        </w:rPr>
        <w:t xml:space="preserve"> social group. The apparent success of the Santo Daime religion in improving mental health presumably relies on this principle (Palhano-Fontes et al., 2019), as adherents use the ayahuasca brew as a sacrament.</w:t>
      </w:r>
      <w:r w:rsidR="007C30E0" w:rsidRPr="007C30E0">
        <w:rPr>
          <w:rStyle w:val="None"/>
        </w:rPr>
        <w:t xml:space="preserve"> </w:t>
      </w:r>
      <w:r w:rsidR="007C30E0">
        <w:rPr>
          <w:rStyle w:val="None"/>
        </w:rPr>
        <w:t xml:space="preserve">The brew contains </w:t>
      </w:r>
      <w:r w:rsidR="007C30E0" w:rsidRPr="006C2DA7">
        <w:rPr>
          <w:rStyle w:val="None"/>
        </w:rPr>
        <w:t>DMT (N,N- dimethyltryptamine)</w:t>
      </w:r>
      <w:r w:rsidR="007C30E0">
        <w:rPr>
          <w:rStyle w:val="None"/>
        </w:rPr>
        <w:t>, which is considered a classical psychedelic.</w:t>
      </w:r>
    </w:p>
    <w:p w:rsidR="00D4376B" w:rsidRDefault="00462402" w:rsidP="006C2DA7">
      <w:pPr>
        <w:pStyle w:val="Brdtekst"/>
        <w:tabs>
          <w:tab w:val="left" w:pos="426"/>
        </w:tabs>
        <w:spacing w:line="360" w:lineRule="auto"/>
        <w:ind w:right="421" w:firstLine="426"/>
        <w:rPr>
          <w:rStyle w:val="None"/>
          <w:rFonts w:eastAsia="Arial Unicode MS"/>
          <w:color w:val="auto"/>
        </w:rPr>
        <w:sectPr w:rsidR="00D4376B">
          <w:headerReference w:type="default" r:id="rId8"/>
          <w:pgSz w:w="11920" w:h="16840"/>
          <w:pgMar w:top="1588" w:right="1179" w:bottom="851" w:left="1298" w:header="360" w:footer="0" w:gutter="0"/>
          <w:cols w:space="720"/>
          <w:docGrid w:linePitch="326"/>
        </w:sectPr>
      </w:pPr>
      <w:r w:rsidRPr="006C2DA7">
        <w:rPr>
          <w:rStyle w:val="None"/>
        </w:rPr>
        <w:t>A relevant question is whether the psychedelics can also improve life for those who do not suffer from a particular disorder. The betterment of otherwise healthy people is congruent with the WHO’s definition of health as a state of complete physical, mental and social well-being, and not merely the absence of disease.</w:t>
      </w:r>
      <w:r w:rsidR="00F83F61">
        <w:rPr>
          <w:rStyle w:val="None"/>
        </w:rPr>
        <w:t xml:space="preserve"> </w:t>
      </w:r>
      <w:r w:rsidRPr="006C2DA7">
        <w:rPr>
          <w:rStyle w:val="None"/>
        </w:rPr>
        <w:t xml:space="preserve">All drugs </w:t>
      </w:r>
      <w:r w:rsidR="00F83F61">
        <w:rPr>
          <w:rStyle w:val="None"/>
        </w:rPr>
        <w:t>with</w:t>
      </w:r>
      <w:r w:rsidRPr="006C2DA7">
        <w:rPr>
          <w:rStyle w:val="None"/>
        </w:rPr>
        <w:t xml:space="preserve"> a history of recreational use can, at least in some people under some circumstances, activate the reward modules of the brain; otherwise they would not have been desired</w:t>
      </w:r>
      <w:r w:rsidR="005E7B5F">
        <w:rPr>
          <w:rStyle w:val="None"/>
        </w:rPr>
        <w:t xml:space="preserve"> and consumed</w:t>
      </w:r>
      <w:r w:rsidRPr="006C2DA7">
        <w:rPr>
          <w:rStyle w:val="None"/>
        </w:rPr>
        <w:t xml:space="preserve">. The pertinent issue is whether the benefits of taking psychedelic substances outweigh the pitfalls associated with their use, particularly as considered in a lifetime perspective. It is difficult to find a definitive answer to this question, not the least because the impact of psychedelics differs among individuals. Yet, we believe that the answer is more likely </w:t>
      </w:r>
      <w:r w:rsidR="005E7B5F">
        <w:rPr>
          <w:rStyle w:val="None"/>
        </w:rPr>
        <w:t xml:space="preserve">tilted toward the </w:t>
      </w:r>
      <w:r w:rsidRPr="006C2DA7">
        <w:rPr>
          <w:rStyle w:val="None"/>
        </w:rPr>
        <w:t xml:space="preserve">positive in the case of psychedelics compared with other psychotropic substances such as heroin, cocaine, tobacco, and alcohol. That is, moderate use of psychedelics may offer the average user more benefits than harm in </w:t>
      </w:r>
      <w:r w:rsidR="005E7B5F">
        <w:rPr>
          <w:rStyle w:val="None"/>
        </w:rPr>
        <w:t>the</w:t>
      </w:r>
      <w:r w:rsidRPr="006C2DA7">
        <w:rPr>
          <w:rStyle w:val="None"/>
        </w:rPr>
        <w:t xml:space="preserve"> pursuit of happiness. Society, and indirectly members of that society, could gain further benefits due to the positive effects of some of these substances on compassion and sociability. In fact, </w:t>
      </w:r>
      <w:r w:rsidR="00A52F24">
        <w:rPr>
          <w:rStyle w:val="None"/>
        </w:rPr>
        <w:t xml:space="preserve">researchers have associated the </w:t>
      </w:r>
      <w:r w:rsidRPr="006C2DA7">
        <w:rPr>
          <w:rStyle w:val="None"/>
        </w:rPr>
        <w:t xml:space="preserve">lifetime use of classical psychedelics with both positive mental health and prosocial outcomes (Hendricks, Thorne, Clark, Coombs, &amp; Johnson, 2015; Johansen &amp; Krebs, 2015; Johnson et al., 2019), although carefully conducted </w:t>
      </w:r>
      <w:r w:rsidR="00DE4064">
        <w:rPr>
          <w:rStyle w:val="None"/>
        </w:rPr>
        <w:t xml:space="preserve">cross-sectional and </w:t>
      </w:r>
      <w:r w:rsidRPr="006C2DA7">
        <w:rPr>
          <w:rStyle w:val="None"/>
        </w:rPr>
        <w:t xml:space="preserve">longitudinal studies are necessary to assess the validity </w:t>
      </w:r>
      <w:r w:rsidR="00A52F24">
        <w:rPr>
          <w:rStyle w:val="None"/>
        </w:rPr>
        <w:t xml:space="preserve">and reliability </w:t>
      </w:r>
      <w:r w:rsidRPr="006C2DA7">
        <w:rPr>
          <w:rStyle w:val="None"/>
        </w:rPr>
        <w:t>of these findings</w:t>
      </w:r>
      <w:r w:rsidR="00DE4064">
        <w:rPr>
          <w:rStyle w:val="None"/>
        </w:rPr>
        <w:t xml:space="preserve"> and the theoretical framework advanced in this essay</w:t>
      </w:r>
      <w:r w:rsidRPr="006C2DA7">
        <w:rPr>
          <w:rStyle w:val="None"/>
        </w:rPr>
        <w:t>.</w:t>
      </w:r>
    </w:p>
    <w:p w:rsidR="00D4376B" w:rsidRDefault="00D4376B" w:rsidP="00D4376B">
      <w:pPr>
        <w:pStyle w:val="Brdtekst"/>
        <w:spacing w:before="4"/>
        <w:rPr>
          <w:sz w:val="36"/>
        </w:rPr>
      </w:pPr>
    </w:p>
    <w:p w:rsidR="00D4376B" w:rsidRDefault="00D4376B" w:rsidP="00D4376B">
      <w:pPr>
        <w:pStyle w:val="Brdtekst"/>
        <w:spacing w:line="480" w:lineRule="auto"/>
        <w:ind w:left="118" w:right="242"/>
      </w:pPr>
      <w:r>
        <w:rPr>
          <w:i/>
        </w:rPr>
        <w:t>Table 1</w:t>
      </w:r>
      <w:r>
        <w:t>. Commonly used psychedelics. The taxonomy is based on a combination of mental effects and neurobiological action. Both the taxonomy, and the inclusion as a psychedelic, is somewhat arbitrary. This is not a problem for the present text, which focuses on effects of psychotropics that can help us understand consciousness.</w:t>
      </w:r>
    </w:p>
    <w:p w:rsidR="00D4376B" w:rsidRDefault="00D4376B" w:rsidP="00D4376B">
      <w:pPr>
        <w:pStyle w:val="Brdtekst"/>
        <w:spacing w:before="8"/>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74"/>
        <w:gridCol w:w="2146"/>
        <w:gridCol w:w="2976"/>
        <w:gridCol w:w="1985"/>
        <w:gridCol w:w="4253"/>
      </w:tblGrid>
      <w:tr w:rsidR="00D4376B">
        <w:trPr>
          <w:trHeight w:val="276"/>
        </w:trPr>
        <w:tc>
          <w:tcPr>
            <w:tcW w:w="2074" w:type="dxa"/>
          </w:tcPr>
          <w:p w:rsidR="00D4376B" w:rsidRDefault="00D4376B" w:rsidP="005A67CE">
            <w:pPr>
              <w:pStyle w:val="TableParagraph"/>
              <w:spacing w:line="256" w:lineRule="exact"/>
              <w:ind w:left="535"/>
              <w:rPr>
                <w:rFonts w:ascii="Times New Roman"/>
                <w:b/>
                <w:sz w:val="24"/>
              </w:rPr>
            </w:pPr>
            <w:r>
              <w:rPr>
                <w:rFonts w:ascii="Times New Roman"/>
                <w:b/>
                <w:sz w:val="24"/>
              </w:rPr>
              <w:t>Category</w:t>
            </w:r>
          </w:p>
        </w:tc>
        <w:tc>
          <w:tcPr>
            <w:tcW w:w="2146" w:type="dxa"/>
          </w:tcPr>
          <w:p w:rsidR="00D4376B" w:rsidRDefault="00D4376B" w:rsidP="005A67CE">
            <w:pPr>
              <w:pStyle w:val="TableParagraph"/>
              <w:spacing w:line="256" w:lineRule="exact"/>
              <w:ind w:left="542"/>
              <w:rPr>
                <w:rFonts w:ascii="Times New Roman"/>
                <w:b/>
                <w:sz w:val="24"/>
              </w:rPr>
            </w:pPr>
            <w:r>
              <w:rPr>
                <w:rFonts w:ascii="Times New Roman"/>
                <w:b/>
                <w:sz w:val="24"/>
              </w:rPr>
              <w:t>Examples</w:t>
            </w:r>
          </w:p>
        </w:tc>
        <w:tc>
          <w:tcPr>
            <w:tcW w:w="2976" w:type="dxa"/>
          </w:tcPr>
          <w:p w:rsidR="00D4376B" w:rsidRDefault="00D4376B" w:rsidP="005A67CE">
            <w:pPr>
              <w:pStyle w:val="TableParagraph"/>
              <w:spacing w:line="256" w:lineRule="exact"/>
              <w:ind w:left="683"/>
              <w:rPr>
                <w:rFonts w:ascii="Times New Roman"/>
                <w:b/>
                <w:sz w:val="24"/>
              </w:rPr>
            </w:pPr>
            <w:r>
              <w:rPr>
                <w:rFonts w:ascii="Times New Roman"/>
                <w:b/>
                <w:sz w:val="24"/>
              </w:rPr>
              <w:t>Primary action</w:t>
            </w:r>
          </w:p>
        </w:tc>
        <w:tc>
          <w:tcPr>
            <w:tcW w:w="1985" w:type="dxa"/>
          </w:tcPr>
          <w:p w:rsidR="00D4376B" w:rsidRDefault="00D4376B" w:rsidP="005A67CE">
            <w:pPr>
              <w:pStyle w:val="TableParagraph"/>
              <w:spacing w:line="256" w:lineRule="exact"/>
              <w:ind w:left="127"/>
              <w:rPr>
                <w:rFonts w:ascii="Times New Roman"/>
                <w:b/>
                <w:sz w:val="16"/>
              </w:rPr>
            </w:pPr>
            <w:r>
              <w:rPr>
                <w:rFonts w:ascii="Times New Roman"/>
                <w:b/>
                <w:sz w:val="24"/>
              </w:rPr>
              <w:t>Primary source</w:t>
            </w:r>
            <w:r>
              <w:rPr>
                <w:rFonts w:ascii="Times New Roman"/>
                <w:b/>
                <w:position w:val="8"/>
                <w:sz w:val="16"/>
              </w:rPr>
              <w:t>a</w:t>
            </w:r>
          </w:p>
        </w:tc>
        <w:tc>
          <w:tcPr>
            <w:tcW w:w="4253" w:type="dxa"/>
          </w:tcPr>
          <w:p w:rsidR="00D4376B" w:rsidRDefault="00D4376B" w:rsidP="005A67CE">
            <w:pPr>
              <w:pStyle w:val="TableParagraph"/>
              <w:spacing w:line="256" w:lineRule="exact"/>
              <w:ind w:left="1008"/>
              <w:rPr>
                <w:rFonts w:ascii="Times New Roman"/>
                <w:b/>
                <w:sz w:val="24"/>
              </w:rPr>
            </w:pPr>
            <w:r>
              <w:rPr>
                <w:rFonts w:ascii="Times New Roman"/>
                <w:b/>
                <w:sz w:val="24"/>
              </w:rPr>
              <w:t>Characteristic effects</w:t>
            </w:r>
          </w:p>
        </w:tc>
      </w:tr>
      <w:tr w:rsidR="00D4376B">
        <w:trPr>
          <w:trHeight w:val="275"/>
        </w:trPr>
        <w:tc>
          <w:tcPr>
            <w:tcW w:w="2074" w:type="dxa"/>
            <w:vMerge w:val="restart"/>
          </w:tcPr>
          <w:p w:rsidR="00D4376B" w:rsidRDefault="00D4376B" w:rsidP="005A67CE">
            <w:pPr>
              <w:pStyle w:val="TableParagraph"/>
              <w:rPr>
                <w:rFonts w:ascii="Times New Roman"/>
                <w:sz w:val="24"/>
              </w:rPr>
            </w:pPr>
            <w:r>
              <w:rPr>
                <w:rFonts w:ascii="Times New Roman"/>
                <w:sz w:val="24"/>
              </w:rPr>
              <w:t>Classical psychedelics</w:t>
            </w:r>
          </w:p>
        </w:tc>
        <w:tc>
          <w:tcPr>
            <w:tcW w:w="2146" w:type="dxa"/>
          </w:tcPr>
          <w:p w:rsidR="00D4376B" w:rsidRDefault="00D4376B" w:rsidP="005A67CE">
            <w:pPr>
              <w:pStyle w:val="TableParagraph"/>
              <w:spacing w:line="256" w:lineRule="exact"/>
              <w:rPr>
                <w:rFonts w:ascii="Times New Roman"/>
                <w:sz w:val="24"/>
              </w:rPr>
            </w:pPr>
            <w:r>
              <w:rPr>
                <w:rFonts w:ascii="Times New Roman"/>
                <w:sz w:val="24"/>
              </w:rPr>
              <w:t>Psilocybin</w:t>
            </w:r>
          </w:p>
        </w:tc>
        <w:tc>
          <w:tcPr>
            <w:tcW w:w="2976" w:type="dxa"/>
            <w:vMerge w:val="restart"/>
          </w:tcPr>
          <w:p w:rsidR="00D4376B" w:rsidRDefault="00D4376B" w:rsidP="005A67CE">
            <w:pPr>
              <w:pStyle w:val="TableParagraph"/>
              <w:spacing w:line="270" w:lineRule="exact"/>
              <w:rPr>
                <w:rFonts w:ascii="Times New Roman"/>
                <w:sz w:val="24"/>
              </w:rPr>
            </w:pPr>
            <w:r>
              <w:rPr>
                <w:rFonts w:ascii="Times New Roman"/>
                <w:position w:val="2"/>
                <w:sz w:val="24"/>
              </w:rPr>
              <w:t>5-HT</w:t>
            </w:r>
            <w:r>
              <w:rPr>
                <w:rFonts w:ascii="Times New Roman"/>
                <w:sz w:val="16"/>
              </w:rPr>
              <w:t xml:space="preserve">2A </w:t>
            </w:r>
            <w:r>
              <w:rPr>
                <w:rFonts w:ascii="Times New Roman"/>
                <w:position w:val="2"/>
                <w:sz w:val="24"/>
              </w:rPr>
              <w:t>receptor agonist</w:t>
            </w:r>
          </w:p>
        </w:tc>
        <w:tc>
          <w:tcPr>
            <w:tcW w:w="1985" w:type="dxa"/>
          </w:tcPr>
          <w:p w:rsidR="00D4376B" w:rsidRDefault="00D4376B" w:rsidP="005A67CE">
            <w:pPr>
              <w:pStyle w:val="TableParagraph"/>
              <w:spacing w:line="256" w:lineRule="exact"/>
              <w:rPr>
                <w:rFonts w:ascii="Times New Roman"/>
                <w:sz w:val="24"/>
              </w:rPr>
            </w:pPr>
            <w:r>
              <w:rPr>
                <w:rFonts w:ascii="Times New Roman"/>
                <w:sz w:val="24"/>
              </w:rPr>
              <w:t>Mushroom</w:t>
            </w:r>
          </w:p>
        </w:tc>
        <w:tc>
          <w:tcPr>
            <w:tcW w:w="4253" w:type="dxa"/>
            <w:vMerge w:val="restart"/>
          </w:tcPr>
          <w:p w:rsidR="00D4376B" w:rsidRDefault="00D4376B" w:rsidP="005A67CE">
            <w:pPr>
              <w:pStyle w:val="TableParagraph"/>
              <w:ind w:left="108" w:right="388"/>
              <w:rPr>
                <w:rFonts w:ascii="Times New Roman"/>
                <w:sz w:val="24"/>
              </w:rPr>
            </w:pPr>
            <w:r>
              <w:rPr>
                <w:rFonts w:ascii="Times New Roman"/>
                <w:sz w:val="24"/>
              </w:rPr>
              <w:t>Sensory distortion, hallucinations, lose sense of time, euphoria, synesthesia, empathy, derealization, depersonalization, oneness</w:t>
            </w:r>
          </w:p>
        </w:tc>
      </w:tr>
      <w:tr w:rsidR="00D4376B">
        <w:trPr>
          <w:trHeight w:val="275"/>
        </w:trPr>
        <w:tc>
          <w:tcPr>
            <w:tcW w:w="2074" w:type="dxa"/>
            <w:vMerge/>
            <w:tcBorders>
              <w:top w:val="nil"/>
            </w:tcBorders>
          </w:tcPr>
          <w:p w:rsidR="00D4376B" w:rsidRDefault="00D4376B" w:rsidP="005A67CE">
            <w:pPr>
              <w:rPr>
                <w:sz w:val="2"/>
                <w:szCs w:val="2"/>
              </w:rPr>
            </w:pPr>
          </w:p>
        </w:tc>
        <w:tc>
          <w:tcPr>
            <w:tcW w:w="2146" w:type="dxa"/>
          </w:tcPr>
          <w:p w:rsidR="00D4376B" w:rsidRDefault="00D4376B" w:rsidP="005A67CE">
            <w:pPr>
              <w:pStyle w:val="TableParagraph"/>
              <w:spacing w:line="256" w:lineRule="exact"/>
              <w:rPr>
                <w:rFonts w:ascii="Times New Roman" w:hAnsi="Times New Roman"/>
                <w:sz w:val="24"/>
              </w:rPr>
            </w:pPr>
            <w:r>
              <w:rPr>
                <w:rFonts w:ascii="Times New Roman" w:hAnsi="Times New Roman"/>
                <w:sz w:val="24"/>
              </w:rPr>
              <w:t>LSD (‘acid’)</w:t>
            </w:r>
          </w:p>
        </w:tc>
        <w:tc>
          <w:tcPr>
            <w:tcW w:w="2976" w:type="dxa"/>
            <w:vMerge/>
            <w:tcBorders>
              <w:top w:val="nil"/>
            </w:tcBorders>
          </w:tcPr>
          <w:p w:rsidR="00D4376B" w:rsidRDefault="00D4376B" w:rsidP="005A67CE">
            <w:pPr>
              <w:rPr>
                <w:sz w:val="2"/>
                <w:szCs w:val="2"/>
              </w:rPr>
            </w:pPr>
          </w:p>
        </w:tc>
        <w:tc>
          <w:tcPr>
            <w:tcW w:w="1985" w:type="dxa"/>
          </w:tcPr>
          <w:p w:rsidR="00D4376B" w:rsidRDefault="00D4376B" w:rsidP="005A67CE">
            <w:pPr>
              <w:pStyle w:val="TableParagraph"/>
              <w:spacing w:line="256" w:lineRule="exact"/>
              <w:rPr>
                <w:rFonts w:ascii="Times New Roman"/>
                <w:sz w:val="24"/>
              </w:rPr>
            </w:pPr>
            <w:r>
              <w:rPr>
                <w:rFonts w:ascii="Times New Roman"/>
                <w:sz w:val="24"/>
              </w:rPr>
              <w:t>Synthetic</w:t>
            </w:r>
          </w:p>
        </w:tc>
        <w:tc>
          <w:tcPr>
            <w:tcW w:w="4253" w:type="dxa"/>
            <w:vMerge/>
            <w:tcBorders>
              <w:top w:val="nil"/>
            </w:tcBorders>
          </w:tcPr>
          <w:p w:rsidR="00D4376B" w:rsidRDefault="00D4376B" w:rsidP="005A67CE">
            <w:pPr>
              <w:rPr>
                <w:sz w:val="2"/>
                <w:szCs w:val="2"/>
              </w:rPr>
            </w:pPr>
          </w:p>
        </w:tc>
      </w:tr>
      <w:tr w:rsidR="00D4376B">
        <w:trPr>
          <w:trHeight w:val="275"/>
        </w:trPr>
        <w:tc>
          <w:tcPr>
            <w:tcW w:w="2074" w:type="dxa"/>
            <w:vMerge/>
            <w:tcBorders>
              <w:top w:val="nil"/>
            </w:tcBorders>
          </w:tcPr>
          <w:p w:rsidR="00D4376B" w:rsidRDefault="00D4376B" w:rsidP="005A67CE">
            <w:pPr>
              <w:rPr>
                <w:sz w:val="2"/>
                <w:szCs w:val="2"/>
              </w:rPr>
            </w:pPr>
          </w:p>
        </w:tc>
        <w:tc>
          <w:tcPr>
            <w:tcW w:w="2146" w:type="dxa"/>
          </w:tcPr>
          <w:p w:rsidR="00D4376B" w:rsidRDefault="00D4376B" w:rsidP="005A67CE">
            <w:pPr>
              <w:pStyle w:val="TableParagraph"/>
              <w:spacing w:line="256" w:lineRule="exact"/>
              <w:rPr>
                <w:rFonts w:ascii="Times New Roman"/>
                <w:sz w:val="24"/>
              </w:rPr>
            </w:pPr>
            <w:r>
              <w:rPr>
                <w:rFonts w:ascii="Times New Roman"/>
                <w:sz w:val="24"/>
              </w:rPr>
              <w:t>Mescaline</w:t>
            </w:r>
          </w:p>
        </w:tc>
        <w:tc>
          <w:tcPr>
            <w:tcW w:w="2976" w:type="dxa"/>
            <w:vMerge/>
            <w:tcBorders>
              <w:top w:val="nil"/>
            </w:tcBorders>
          </w:tcPr>
          <w:p w:rsidR="00D4376B" w:rsidRDefault="00D4376B" w:rsidP="005A67CE">
            <w:pPr>
              <w:rPr>
                <w:sz w:val="2"/>
                <w:szCs w:val="2"/>
              </w:rPr>
            </w:pPr>
          </w:p>
        </w:tc>
        <w:tc>
          <w:tcPr>
            <w:tcW w:w="1985" w:type="dxa"/>
          </w:tcPr>
          <w:p w:rsidR="00D4376B" w:rsidRDefault="00D4376B" w:rsidP="005A67CE">
            <w:pPr>
              <w:pStyle w:val="TableParagraph"/>
              <w:spacing w:line="256" w:lineRule="exact"/>
              <w:rPr>
                <w:rFonts w:ascii="Times New Roman"/>
                <w:sz w:val="24"/>
              </w:rPr>
            </w:pPr>
            <w:r>
              <w:rPr>
                <w:rFonts w:ascii="Times New Roman"/>
                <w:sz w:val="24"/>
              </w:rPr>
              <w:t>Cactus</w:t>
            </w:r>
          </w:p>
        </w:tc>
        <w:tc>
          <w:tcPr>
            <w:tcW w:w="4253" w:type="dxa"/>
            <w:vMerge/>
            <w:tcBorders>
              <w:top w:val="nil"/>
            </w:tcBorders>
          </w:tcPr>
          <w:p w:rsidR="00D4376B" w:rsidRDefault="00D4376B" w:rsidP="005A67CE">
            <w:pPr>
              <w:rPr>
                <w:sz w:val="2"/>
                <w:szCs w:val="2"/>
              </w:rPr>
            </w:pPr>
          </w:p>
        </w:tc>
      </w:tr>
      <w:tr w:rsidR="00D4376B">
        <w:trPr>
          <w:trHeight w:val="277"/>
        </w:trPr>
        <w:tc>
          <w:tcPr>
            <w:tcW w:w="2074" w:type="dxa"/>
            <w:vMerge/>
            <w:tcBorders>
              <w:top w:val="nil"/>
            </w:tcBorders>
          </w:tcPr>
          <w:p w:rsidR="00D4376B" w:rsidRDefault="00D4376B" w:rsidP="005A67CE">
            <w:pPr>
              <w:rPr>
                <w:sz w:val="2"/>
                <w:szCs w:val="2"/>
              </w:rPr>
            </w:pPr>
          </w:p>
        </w:tc>
        <w:tc>
          <w:tcPr>
            <w:tcW w:w="2146" w:type="dxa"/>
          </w:tcPr>
          <w:p w:rsidR="00D4376B" w:rsidRDefault="00D4376B" w:rsidP="005A67CE">
            <w:pPr>
              <w:pStyle w:val="TableParagraph"/>
              <w:spacing w:line="258" w:lineRule="exact"/>
              <w:rPr>
                <w:rFonts w:ascii="Times New Roman"/>
                <w:sz w:val="24"/>
              </w:rPr>
            </w:pPr>
            <w:r>
              <w:rPr>
                <w:rFonts w:ascii="Times New Roman"/>
                <w:sz w:val="24"/>
              </w:rPr>
              <w:t>DMT</w:t>
            </w:r>
          </w:p>
        </w:tc>
        <w:tc>
          <w:tcPr>
            <w:tcW w:w="2976" w:type="dxa"/>
            <w:vMerge/>
            <w:tcBorders>
              <w:top w:val="nil"/>
            </w:tcBorders>
          </w:tcPr>
          <w:p w:rsidR="00D4376B" w:rsidRDefault="00D4376B" w:rsidP="005A67CE">
            <w:pPr>
              <w:rPr>
                <w:sz w:val="2"/>
                <w:szCs w:val="2"/>
              </w:rPr>
            </w:pPr>
          </w:p>
        </w:tc>
        <w:tc>
          <w:tcPr>
            <w:tcW w:w="1985" w:type="dxa"/>
          </w:tcPr>
          <w:p w:rsidR="00D4376B" w:rsidRDefault="00D4376B" w:rsidP="005A67CE">
            <w:pPr>
              <w:pStyle w:val="TableParagraph"/>
              <w:spacing w:line="258" w:lineRule="exact"/>
              <w:rPr>
                <w:rFonts w:ascii="Times New Roman"/>
                <w:sz w:val="24"/>
              </w:rPr>
            </w:pPr>
            <w:r>
              <w:rPr>
                <w:rFonts w:ascii="Times New Roman"/>
                <w:sz w:val="24"/>
              </w:rPr>
              <w:t>Plant</w:t>
            </w:r>
          </w:p>
        </w:tc>
        <w:tc>
          <w:tcPr>
            <w:tcW w:w="4253" w:type="dxa"/>
            <w:vMerge/>
            <w:tcBorders>
              <w:top w:val="nil"/>
            </w:tcBorders>
          </w:tcPr>
          <w:p w:rsidR="00D4376B" w:rsidRDefault="00D4376B" w:rsidP="005A67CE">
            <w:pPr>
              <w:rPr>
                <w:sz w:val="2"/>
                <w:szCs w:val="2"/>
              </w:rPr>
            </w:pPr>
          </w:p>
        </w:tc>
      </w:tr>
      <w:tr w:rsidR="00D4376B">
        <w:trPr>
          <w:trHeight w:val="275"/>
        </w:trPr>
        <w:tc>
          <w:tcPr>
            <w:tcW w:w="2074" w:type="dxa"/>
            <w:vMerge w:val="restart"/>
          </w:tcPr>
          <w:p w:rsidR="00D4376B" w:rsidRDefault="00D4376B" w:rsidP="005A67CE">
            <w:pPr>
              <w:pStyle w:val="TableParagraph"/>
              <w:spacing w:line="268" w:lineRule="exact"/>
              <w:rPr>
                <w:rFonts w:ascii="Times New Roman"/>
                <w:sz w:val="24"/>
              </w:rPr>
            </w:pPr>
            <w:r>
              <w:rPr>
                <w:rFonts w:ascii="Times New Roman"/>
                <w:sz w:val="24"/>
              </w:rPr>
              <w:t>Empathogens</w:t>
            </w:r>
          </w:p>
        </w:tc>
        <w:tc>
          <w:tcPr>
            <w:tcW w:w="2146" w:type="dxa"/>
          </w:tcPr>
          <w:p w:rsidR="00D4376B" w:rsidRDefault="00D4376B" w:rsidP="005A67CE">
            <w:pPr>
              <w:pStyle w:val="TableParagraph"/>
              <w:spacing w:line="256" w:lineRule="exact"/>
              <w:rPr>
                <w:rFonts w:ascii="Times New Roman" w:hAnsi="Times New Roman"/>
                <w:sz w:val="24"/>
              </w:rPr>
            </w:pPr>
            <w:r>
              <w:rPr>
                <w:rFonts w:ascii="Times New Roman" w:hAnsi="Times New Roman"/>
                <w:sz w:val="24"/>
              </w:rPr>
              <w:t>MDMA (‘ecstasy’)</w:t>
            </w:r>
          </w:p>
        </w:tc>
        <w:tc>
          <w:tcPr>
            <w:tcW w:w="2976" w:type="dxa"/>
            <w:vMerge w:val="restart"/>
          </w:tcPr>
          <w:p w:rsidR="00D4376B" w:rsidRDefault="00D4376B" w:rsidP="005A67CE">
            <w:pPr>
              <w:pStyle w:val="TableParagraph"/>
              <w:spacing w:line="268" w:lineRule="exact"/>
              <w:rPr>
                <w:rFonts w:ascii="Times New Roman"/>
                <w:sz w:val="24"/>
              </w:rPr>
            </w:pPr>
            <w:r>
              <w:rPr>
                <w:rFonts w:ascii="Times New Roman"/>
                <w:sz w:val="24"/>
              </w:rPr>
              <w:t>Serotonin/monoamine</w:t>
            </w:r>
          </w:p>
          <w:p w:rsidR="00D4376B" w:rsidRDefault="00D4376B" w:rsidP="005A67CE">
            <w:pPr>
              <w:pStyle w:val="TableParagraph"/>
              <w:spacing w:line="270" w:lineRule="atLeast"/>
              <w:ind w:right="274"/>
              <w:rPr>
                <w:rFonts w:ascii="Times New Roman"/>
                <w:sz w:val="24"/>
              </w:rPr>
            </w:pPr>
            <w:r>
              <w:rPr>
                <w:rFonts w:ascii="Times New Roman"/>
                <w:sz w:val="24"/>
              </w:rPr>
              <w:t xml:space="preserve">release (inhibit reuptake </w:t>
            </w:r>
            <w:r>
              <w:rPr>
                <w:rFonts w:ascii="Times New Roman"/>
                <w:spacing w:val="-7"/>
                <w:sz w:val="24"/>
              </w:rPr>
              <w:t xml:space="preserve">or </w:t>
            </w:r>
            <w:r>
              <w:rPr>
                <w:rFonts w:ascii="Times New Roman"/>
                <w:sz w:val="24"/>
              </w:rPr>
              <w:t>monoamine</w:t>
            </w:r>
            <w:r>
              <w:rPr>
                <w:rFonts w:ascii="Times New Roman"/>
                <w:spacing w:val="-1"/>
                <w:sz w:val="24"/>
              </w:rPr>
              <w:t xml:space="preserve"> </w:t>
            </w:r>
            <w:r>
              <w:rPr>
                <w:rFonts w:ascii="Times New Roman"/>
                <w:sz w:val="24"/>
              </w:rPr>
              <w:t>oxidases)</w:t>
            </w:r>
          </w:p>
        </w:tc>
        <w:tc>
          <w:tcPr>
            <w:tcW w:w="1985" w:type="dxa"/>
          </w:tcPr>
          <w:p w:rsidR="00D4376B" w:rsidRDefault="00D4376B" w:rsidP="005A67CE">
            <w:pPr>
              <w:pStyle w:val="TableParagraph"/>
              <w:spacing w:line="256" w:lineRule="exact"/>
              <w:rPr>
                <w:rFonts w:ascii="Times New Roman"/>
                <w:sz w:val="24"/>
              </w:rPr>
            </w:pPr>
            <w:r>
              <w:rPr>
                <w:rFonts w:ascii="Times New Roman"/>
                <w:sz w:val="24"/>
              </w:rPr>
              <w:t>Synthetic</w:t>
            </w:r>
          </w:p>
        </w:tc>
        <w:tc>
          <w:tcPr>
            <w:tcW w:w="4253" w:type="dxa"/>
            <w:vMerge w:val="restart"/>
          </w:tcPr>
          <w:p w:rsidR="00D4376B" w:rsidRDefault="00D4376B" w:rsidP="005A67CE">
            <w:pPr>
              <w:pStyle w:val="TableParagraph"/>
              <w:ind w:left="108" w:right="728"/>
              <w:rPr>
                <w:rFonts w:ascii="Times New Roman"/>
                <w:sz w:val="24"/>
              </w:rPr>
            </w:pPr>
            <w:r>
              <w:rPr>
                <w:rFonts w:ascii="Times New Roman"/>
                <w:sz w:val="24"/>
              </w:rPr>
              <w:t>Empathy, sociability, trust, sensory distortion, energized, euphoria</w:t>
            </w:r>
          </w:p>
        </w:tc>
      </w:tr>
      <w:tr w:rsidR="00D4376B">
        <w:trPr>
          <w:trHeight w:val="542"/>
        </w:trPr>
        <w:tc>
          <w:tcPr>
            <w:tcW w:w="2074" w:type="dxa"/>
            <w:vMerge/>
            <w:tcBorders>
              <w:top w:val="nil"/>
            </w:tcBorders>
          </w:tcPr>
          <w:p w:rsidR="00D4376B" w:rsidRDefault="00D4376B" w:rsidP="005A67CE">
            <w:pPr>
              <w:rPr>
                <w:sz w:val="2"/>
                <w:szCs w:val="2"/>
              </w:rPr>
            </w:pPr>
          </w:p>
        </w:tc>
        <w:tc>
          <w:tcPr>
            <w:tcW w:w="2146" w:type="dxa"/>
          </w:tcPr>
          <w:p w:rsidR="00D4376B" w:rsidRDefault="00D4376B" w:rsidP="005A67CE">
            <w:pPr>
              <w:pStyle w:val="TableParagraph"/>
              <w:spacing w:line="268" w:lineRule="exact"/>
              <w:rPr>
                <w:rFonts w:ascii="Times New Roman"/>
                <w:sz w:val="24"/>
              </w:rPr>
            </w:pPr>
            <w:r>
              <w:rPr>
                <w:rFonts w:ascii="Times New Roman"/>
                <w:sz w:val="24"/>
              </w:rPr>
              <w:t>AMT</w:t>
            </w:r>
          </w:p>
        </w:tc>
        <w:tc>
          <w:tcPr>
            <w:tcW w:w="2976" w:type="dxa"/>
            <w:vMerge/>
            <w:tcBorders>
              <w:top w:val="nil"/>
            </w:tcBorders>
          </w:tcPr>
          <w:p w:rsidR="00D4376B" w:rsidRDefault="00D4376B" w:rsidP="005A67CE">
            <w:pPr>
              <w:rPr>
                <w:sz w:val="2"/>
                <w:szCs w:val="2"/>
              </w:rPr>
            </w:pPr>
          </w:p>
        </w:tc>
        <w:tc>
          <w:tcPr>
            <w:tcW w:w="1985" w:type="dxa"/>
          </w:tcPr>
          <w:p w:rsidR="00D4376B" w:rsidRDefault="00D4376B" w:rsidP="005A67CE">
            <w:pPr>
              <w:pStyle w:val="TableParagraph"/>
              <w:spacing w:line="268" w:lineRule="exact"/>
              <w:rPr>
                <w:rFonts w:ascii="Times New Roman"/>
                <w:sz w:val="24"/>
              </w:rPr>
            </w:pPr>
            <w:r>
              <w:rPr>
                <w:rFonts w:ascii="Times New Roman"/>
                <w:sz w:val="24"/>
              </w:rPr>
              <w:t>Synthetic</w:t>
            </w:r>
          </w:p>
        </w:tc>
        <w:tc>
          <w:tcPr>
            <w:tcW w:w="4253" w:type="dxa"/>
            <w:vMerge/>
            <w:tcBorders>
              <w:top w:val="nil"/>
            </w:tcBorders>
          </w:tcPr>
          <w:p w:rsidR="00D4376B" w:rsidRDefault="00D4376B" w:rsidP="005A67CE">
            <w:pPr>
              <w:rPr>
                <w:sz w:val="2"/>
                <w:szCs w:val="2"/>
              </w:rPr>
            </w:pPr>
          </w:p>
        </w:tc>
      </w:tr>
      <w:tr w:rsidR="00D4376B">
        <w:trPr>
          <w:trHeight w:val="827"/>
        </w:trPr>
        <w:tc>
          <w:tcPr>
            <w:tcW w:w="2074" w:type="dxa"/>
          </w:tcPr>
          <w:p w:rsidR="00D4376B" w:rsidRDefault="00D4376B" w:rsidP="005A67CE">
            <w:pPr>
              <w:pStyle w:val="TableParagraph"/>
              <w:spacing w:line="268" w:lineRule="exact"/>
              <w:rPr>
                <w:rFonts w:ascii="Times New Roman"/>
                <w:sz w:val="24"/>
              </w:rPr>
            </w:pPr>
            <w:r>
              <w:rPr>
                <w:rFonts w:ascii="Times New Roman"/>
                <w:sz w:val="24"/>
              </w:rPr>
              <w:t>Cannabinergics</w:t>
            </w:r>
          </w:p>
        </w:tc>
        <w:tc>
          <w:tcPr>
            <w:tcW w:w="2146" w:type="dxa"/>
          </w:tcPr>
          <w:p w:rsidR="00D4376B" w:rsidRDefault="00D4376B" w:rsidP="005A67CE">
            <w:pPr>
              <w:pStyle w:val="TableParagraph"/>
              <w:ind w:right="282"/>
              <w:rPr>
                <w:rFonts w:ascii="Times New Roman" w:hAnsi="Times New Roman"/>
                <w:sz w:val="24"/>
              </w:rPr>
            </w:pPr>
            <w:r>
              <w:rPr>
                <w:rFonts w:ascii="Times New Roman" w:hAnsi="Times New Roman"/>
                <w:sz w:val="24"/>
              </w:rPr>
              <w:t>THC (in ‘hash’ or ‘cannabis’)</w:t>
            </w:r>
          </w:p>
        </w:tc>
        <w:tc>
          <w:tcPr>
            <w:tcW w:w="2976" w:type="dxa"/>
          </w:tcPr>
          <w:p w:rsidR="00D4376B" w:rsidRDefault="00D4376B" w:rsidP="005A67CE">
            <w:pPr>
              <w:pStyle w:val="TableParagraph"/>
              <w:spacing w:line="270" w:lineRule="exact"/>
              <w:rPr>
                <w:rFonts w:ascii="Times New Roman"/>
                <w:sz w:val="24"/>
              </w:rPr>
            </w:pPr>
            <w:r>
              <w:rPr>
                <w:rFonts w:ascii="Times New Roman"/>
                <w:position w:val="2"/>
                <w:sz w:val="24"/>
              </w:rPr>
              <w:t>CB</w:t>
            </w:r>
            <w:r>
              <w:rPr>
                <w:rFonts w:ascii="Times New Roman"/>
                <w:sz w:val="16"/>
              </w:rPr>
              <w:t xml:space="preserve">1 </w:t>
            </w:r>
            <w:r>
              <w:rPr>
                <w:rFonts w:ascii="Times New Roman"/>
                <w:position w:val="2"/>
                <w:sz w:val="24"/>
              </w:rPr>
              <w:t>receptor agonist</w:t>
            </w:r>
          </w:p>
        </w:tc>
        <w:tc>
          <w:tcPr>
            <w:tcW w:w="1985" w:type="dxa"/>
          </w:tcPr>
          <w:p w:rsidR="00D4376B" w:rsidRDefault="00D4376B" w:rsidP="005A67CE">
            <w:pPr>
              <w:pStyle w:val="TableParagraph"/>
              <w:spacing w:line="268" w:lineRule="exact"/>
              <w:rPr>
                <w:rFonts w:ascii="Times New Roman"/>
                <w:sz w:val="24"/>
              </w:rPr>
            </w:pPr>
            <w:r>
              <w:rPr>
                <w:rFonts w:ascii="Times New Roman"/>
                <w:sz w:val="24"/>
              </w:rPr>
              <w:t>Plant</w:t>
            </w:r>
          </w:p>
        </w:tc>
        <w:tc>
          <w:tcPr>
            <w:tcW w:w="4253" w:type="dxa"/>
          </w:tcPr>
          <w:p w:rsidR="00D4376B" w:rsidRDefault="00D4376B" w:rsidP="005A67CE">
            <w:pPr>
              <w:pStyle w:val="TableParagraph"/>
              <w:ind w:left="108" w:right="149"/>
              <w:rPr>
                <w:rFonts w:ascii="Times New Roman"/>
                <w:sz w:val="24"/>
              </w:rPr>
            </w:pPr>
            <w:r>
              <w:rPr>
                <w:rFonts w:ascii="Times New Roman"/>
                <w:sz w:val="24"/>
              </w:rPr>
              <w:t>Sensory distortion, heightened mood, appetite, reduced short-term memory and</w:t>
            </w:r>
          </w:p>
          <w:p w:rsidR="00D4376B" w:rsidRDefault="00D4376B" w:rsidP="005A67CE">
            <w:pPr>
              <w:pStyle w:val="TableParagraph"/>
              <w:spacing w:line="264" w:lineRule="exact"/>
              <w:ind w:left="108"/>
              <w:rPr>
                <w:rFonts w:ascii="Times New Roman"/>
                <w:sz w:val="24"/>
              </w:rPr>
            </w:pPr>
            <w:r>
              <w:rPr>
                <w:rFonts w:ascii="Times New Roman"/>
                <w:sz w:val="24"/>
              </w:rPr>
              <w:t>attention</w:t>
            </w:r>
          </w:p>
        </w:tc>
      </w:tr>
      <w:tr w:rsidR="00D4376B">
        <w:trPr>
          <w:trHeight w:val="275"/>
        </w:trPr>
        <w:tc>
          <w:tcPr>
            <w:tcW w:w="2074" w:type="dxa"/>
            <w:vMerge w:val="restart"/>
          </w:tcPr>
          <w:p w:rsidR="00D4376B" w:rsidRDefault="00D4376B" w:rsidP="005A67CE">
            <w:pPr>
              <w:pStyle w:val="TableParagraph"/>
              <w:spacing w:line="268" w:lineRule="exact"/>
              <w:rPr>
                <w:rFonts w:ascii="Times New Roman"/>
                <w:sz w:val="24"/>
              </w:rPr>
            </w:pPr>
            <w:r>
              <w:rPr>
                <w:rFonts w:ascii="Times New Roman"/>
                <w:color w:val="202020"/>
                <w:sz w:val="24"/>
              </w:rPr>
              <w:t>Dissociatives</w:t>
            </w:r>
          </w:p>
        </w:tc>
        <w:tc>
          <w:tcPr>
            <w:tcW w:w="2146" w:type="dxa"/>
          </w:tcPr>
          <w:p w:rsidR="00D4376B" w:rsidRDefault="00D4376B" w:rsidP="005A67CE">
            <w:pPr>
              <w:pStyle w:val="TableParagraph"/>
              <w:spacing w:line="256" w:lineRule="exact"/>
              <w:rPr>
                <w:rFonts w:ascii="Times New Roman"/>
                <w:sz w:val="24"/>
              </w:rPr>
            </w:pPr>
            <w:r>
              <w:rPr>
                <w:rFonts w:ascii="Times New Roman"/>
                <w:color w:val="202020"/>
                <w:sz w:val="24"/>
              </w:rPr>
              <w:t>Ketamine</w:t>
            </w:r>
          </w:p>
        </w:tc>
        <w:tc>
          <w:tcPr>
            <w:tcW w:w="2976" w:type="dxa"/>
            <w:vMerge w:val="restart"/>
          </w:tcPr>
          <w:p w:rsidR="00D4376B" w:rsidRDefault="00D4376B" w:rsidP="005A67CE">
            <w:pPr>
              <w:pStyle w:val="TableParagraph"/>
              <w:ind w:right="732"/>
              <w:rPr>
                <w:rFonts w:ascii="Times New Roman"/>
                <w:sz w:val="24"/>
              </w:rPr>
            </w:pPr>
            <w:r>
              <w:rPr>
                <w:rFonts w:ascii="Times New Roman"/>
                <w:color w:val="202020"/>
                <w:sz w:val="24"/>
              </w:rPr>
              <w:t>Antagonist of NMDA (glutamate) receptor</w:t>
            </w:r>
          </w:p>
        </w:tc>
        <w:tc>
          <w:tcPr>
            <w:tcW w:w="1985" w:type="dxa"/>
          </w:tcPr>
          <w:p w:rsidR="00D4376B" w:rsidRDefault="00D4376B" w:rsidP="005A67CE">
            <w:pPr>
              <w:pStyle w:val="TableParagraph"/>
              <w:spacing w:line="256" w:lineRule="exact"/>
              <w:rPr>
                <w:rFonts w:ascii="Times New Roman"/>
                <w:sz w:val="24"/>
              </w:rPr>
            </w:pPr>
            <w:r>
              <w:rPr>
                <w:rFonts w:ascii="Times New Roman"/>
                <w:sz w:val="24"/>
              </w:rPr>
              <w:t>Synthetic</w:t>
            </w:r>
          </w:p>
        </w:tc>
        <w:tc>
          <w:tcPr>
            <w:tcW w:w="4253" w:type="dxa"/>
            <w:vMerge w:val="restart"/>
          </w:tcPr>
          <w:p w:rsidR="00D4376B" w:rsidRDefault="00D4376B" w:rsidP="005A67CE">
            <w:pPr>
              <w:pStyle w:val="TableParagraph"/>
              <w:ind w:left="108" w:right="589"/>
              <w:rPr>
                <w:rFonts w:ascii="Times New Roman"/>
                <w:sz w:val="24"/>
              </w:rPr>
            </w:pPr>
            <w:r>
              <w:rPr>
                <w:rFonts w:ascii="Times New Roman"/>
                <w:sz w:val="24"/>
              </w:rPr>
              <w:t>Detachment from surroundings, depersonalization, improved mood, hallucinations, anesthesia, analgesia, ataxia</w:t>
            </w:r>
          </w:p>
        </w:tc>
      </w:tr>
      <w:tr w:rsidR="00D4376B">
        <w:trPr>
          <w:trHeight w:val="275"/>
        </w:trPr>
        <w:tc>
          <w:tcPr>
            <w:tcW w:w="2074" w:type="dxa"/>
            <w:vMerge/>
            <w:tcBorders>
              <w:top w:val="nil"/>
            </w:tcBorders>
          </w:tcPr>
          <w:p w:rsidR="00D4376B" w:rsidRDefault="00D4376B" w:rsidP="005A67CE">
            <w:pPr>
              <w:rPr>
                <w:sz w:val="2"/>
                <w:szCs w:val="2"/>
              </w:rPr>
            </w:pPr>
          </w:p>
        </w:tc>
        <w:tc>
          <w:tcPr>
            <w:tcW w:w="2146" w:type="dxa"/>
          </w:tcPr>
          <w:p w:rsidR="00D4376B" w:rsidRDefault="00D4376B" w:rsidP="005A67CE">
            <w:pPr>
              <w:pStyle w:val="TableParagraph"/>
              <w:spacing w:line="256" w:lineRule="exact"/>
              <w:rPr>
                <w:rFonts w:ascii="Times New Roman"/>
                <w:sz w:val="24"/>
              </w:rPr>
            </w:pPr>
            <w:r>
              <w:rPr>
                <w:rFonts w:ascii="Times New Roman"/>
                <w:color w:val="202020"/>
                <w:sz w:val="24"/>
              </w:rPr>
              <w:t>Nitrous oxide</w:t>
            </w:r>
          </w:p>
        </w:tc>
        <w:tc>
          <w:tcPr>
            <w:tcW w:w="2976" w:type="dxa"/>
            <w:vMerge/>
            <w:tcBorders>
              <w:top w:val="nil"/>
            </w:tcBorders>
          </w:tcPr>
          <w:p w:rsidR="00D4376B" w:rsidRDefault="00D4376B" w:rsidP="005A67CE">
            <w:pPr>
              <w:rPr>
                <w:sz w:val="2"/>
                <w:szCs w:val="2"/>
              </w:rPr>
            </w:pPr>
          </w:p>
        </w:tc>
        <w:tc>
          <w:tcPr>
            <w:tcW w:w="1985" w:type="dxa"/>
          </w:tcPr>
          <w:p w:rsidR="00D4376B" w:rsidRDefault="00D4376B" w:rsidP="005A67CE">
            <w:pPr>
              <w:pStyle w:val="TableParagraph"/>
              <w:spacing w:line="256" w:lineRule="exact"/>
              <w:rPr>
                <w:rFonts w:ascii="Times New Roman"/>
                <w:sz w:val="24"/>
              </w:rPr>
            </w:pPr>
            <w:r>
              <w:rPr>
                <w:rFonts w:ascii="Times New Roman"/>
                <w:sz w:val="24"/>
              </w:rPr>
              <w:t>Synthetic</w:t>
            </w:r>
          </w:p>
        </w:tc>
        <w:tc>
          <w:tcPr>
            <w:tcW w:w="4253" w:type="dxa"/>
            <w:vMerge/>
            <w:tcBorders>
              <w:top w:val="nil"/>
            </w:tcBorders>
          </w:tcPr>
          <w:p w:rsidR="00D4376B" w:rsidRDefault="00D4376B" w:rsidP="005A67CE">
            <w:pPr>
              <w:rPr>
                <w:sz w:val="2"/>
                <w:szCs w:val="2"/>
              </w:rPr>
            </w:pPr>
          </w:p>
        </w:tc>
      </w:tr>
      <w:tr w:rsidR="00D4376B">
        <w:trPr>
          <w:trHeight w:val="275"/>
        </w:trPr>
        <w:tc>
          <w:tcPr>
            <w:tcW w:w="2074" w:type="dxa"/>
            <w:vMerge/>
            <w:tcBorders>
              <w:top w:val="nil"/>
            </w:tcBorders>
          </w:tcPr>
          <w:p w:rsidR="00D4376B" w:rsidRDefault="00D4376B" w:rsidP="005A67CE">
            <w:pPr>
              <w:rPr>
                <w:sz w:val="2"/>
                <w:szCs w:val="2"/>
              </w:rPr>
            </w:pPr>
          </w:p>
        </w:tc>
        <w:tc>
          <w:tcPr>
            <w:tcW w:w="2146" w:type="dxa"/>
          </w:tcPr>
          <w:p w:rsidR="00D4376B" w:rsidRDefault="00D4376B" w:rsidP="005A67CE">
            <w:pPr>
              <w:pStyle w:val="TableParagraph"/>
              <w:spacing w:line="256" w:lineRule="exact"/>
              <w:rPr>
                <w:rFonts w:ascii="Times New Roman" w:hAnsi="Times New Roman"/>
                <w:sz w:val="24"/>
              </w:rPr>
            </w:pPr>
            <w:r>
              <w:rPr>
                <w:rFonts w:ascii="Times New Roman" w:hAnsi="Times New Roman"/>
                <w:color w:val="202020"/>
                <w:sz w:val="24"/>
              </w:rPr>
              <w:t>PCP (‘angel dust’)</w:t>
            </w:r>
          </w:p>
        </w:tc>
        <w:tc>
          <w:tcPr>
            <w:tcW w:w="2976" w:type="dxa"/>
            <w:vMerge/>
            <w:tcBorders>
              <w:top w:val="nil"/>
            </w:tcBorders>
          </w:tcPr>
          <w:p w:rsidR="00D4376B" w:rsidRDefault="00D4376B" w:rsidP="005A67CE">
            <w:pPr>
              <w:rPr>
                <w:sz w:val="2"/>
                <w:szCs w:val="2"/>
              </w:rPr>
            </w:pPr>
          </w:p>
        </w:tc>
        <w:tc>
          <w:tcPr>
            <w:tcW w:w="1985" w:type="dxa"/>
          </w:tcPr>
          <w:p w:rsidR="00D4376B" w:rsidRDefault="00D4376B" w:rsidP="005A67CE">
            <w:pPr>
              <w:pStyle w:val="TableParagraph"/>
              <w:spacing w:line="256" w:lineRule="exact"/>
              <w:rPr>
                <w:rFonts w:ascii="Times New Roman"/>
                <w:sz w:val="24"/>
              </w:rPr>
            </w:pPr>
            <w:r>
              <w:rPr>
                <w:rFonts w:ascii="Times New Roman"/>
                <w:sz w:val="24"/>
              </w:rPr>
              <w:t>Synthetic</w:t>
            </w:r>
          </w:p>
        </w:tc>
        <w:tc>
          <w:tcPr>
            <w:tcW w:w="4253" w:type="dxa"/>
            <w:vMerge/>
            <w:tcBorders>
              <w:top w:val="nil"/>
            </w:tcBorders>
          </w:tcPr>
          <w:p w:rsidR="00D4376B" w:rsidRDefault="00D4376B" w:rsidP="005A67CE">
            <w:pPr>
              <w:rPr>
                <w:sz w:val="2"/>
                <w:szCs w:val="2"/>
              </w:rPr>
            </w:pPr>
          </w:p>
        </w:tc>
      </w:tr>
      <w:tr w:rsidR="00D4376B">
        <w:trPr>
          <w:trHeight w:val="275"/>
        </w:trPr>
        <w:tc>
          <w:tcPr>
            <w:tcW w:w="2074" w:type="dxa"/>
            <w:vMerge/>
            <w:tcBorders>
              <w:top w:val="nil"/>
            </w:tcBorders>
          </w:tcPr>
          <w:p w:rsidR="00D4376B" w:rsidRDefault="00D4376B" w:rsidP="005A67CE">
            <w:pPr>
              <w:rPr>
                <w:sz w:val="2"/>
                <w:szCs w:val="2"/>
              </w:rPr>
            </w:pPr>
          </w:p>
        </w:tc>
        <w:tc>
          <w:tcPr>
            <w:tcW w:w="2146" w:type="dxa"/>
          </w:tcPr>
          <w:p w:rsidR="00D4376B" w:rsidRDefault="00D4376B" w:rsidP="005A67CE">
            <w:pPr>
              <w:pStyle w:val="TableParagraph"/>
              <w:spacing w:line="256" w:lineRule="exact"/>
              <w:rPr>
                <w:rFonts w:ascii="Times New Roman"/>
                <w:sz w:val="24"/>
              </w:rPr>
            </w:pPr>
            <w:r>
              <w:rPr>
                <w:rFonts w:ascii="Times New Roman"/>
                <w:sz w:val="24"/>
              </w:rPr>
              <w:t>Salvinorin A</w:t>
            </w:r>
          </w:p>
        </w:tc>
        <w:tc>
          <w:tcPr>
            <w:tcW w:w="2976" w:type="dxa"/>
          </w:tcPr>
          <w:p w:rsidR="00D4376B" w:rsidRDefault="00D4376B" w:rsidP="005A67CE">
            <w:pPr>
              <w:pStyle w:val="TableParagraph"/>
              <w:spacing w:line="256" w:lineRule="exact"/>
              <w:rPr>
                <w:rFonts w:ascii="Times New Roman" w:hAnsi="Times New Roman"/>
                <w:sz w:val="24"/>
              </w:rPr>
            </w:pPr>
            <w:r>
              <w:rPr>
                <w:rFonts w:ascii="Times New Roman" w:hAnsi="Times New Roman"/>
                <w:color w:val="202020"/>
                <w:sz w:val="24"/>
              </w:rPr>
              <w:t>κ-opioid receptor agonist</w:t>
            </w:r>
          </w:p>
        </w:tc>
        <w:tc>
          <w:tcPr>
            <w:tcW w:w="1985" w:type="dxa"/>
          </w:tcPr>
          <w:p w:rsidR="00D4376B" w:rsidRDefault="00D4376B" w:rsidP="005A67CE">
            <w:pPr>
              <w:pStyle w:val="TableParagraph"/>
              <w:spacing w:line="256" w:lineRule="exact"/>
              <w:rPr>
                <w:rFonts w:ascii="Times New Roman"/>
                <w:sz w:val="24"/>
              </w:rPr>
            </w:pPr>
            <w:r>
              <w:rPr>
                <w:rFonts w:ascii="Times New Roman"/>
                <w:sz w:val="24"/>
              </w:rPr>
              <w:t>Plant</w:t>
            </w:r>
          </w:p>
        </w:tc>
        <w:tc>
          <w:tcPr>
            <w:tcW w:w="4253" w:type="dxa"/>
            <w:vMerge/>
            <w:tcBorders>
              <w:top w:val="nil"/>
            </w:tcBorders>
          </w:tcPr>
          <w:p w:rsidR="00D4376B" w:rsidRDefault="00D4376B" w:rsidP="005A67CE">
            <w:pPr>
              <w:rPr>
                <w:sz w:val="2"/>
                <w:szCs w:val="2"/>
              </w:rPr>
            </w:pPr>
          </w:p>
        </w:tc>
      </w:tr>
      <w:tr w:rsidR="00D4376B">
        <w:trPr>
          <w:trHeight w:val="554"/>
        </w:trPr>
        <w:tc>
          <w:tcPr>
            <w:tcW w:w="2074" w:type="dxa"/>
            <w:vMerge w:val="restart"/>
          </w:tcPr>
          <w:p w:rsidR="00D4376B" w:rsidRDefault="00D4376B" w:rsidP="005A67CE">
            <w:pPr>
              <w:pStyle w:val="TableParagraph"/>
              <w:spacing w:line="270" w:lineRule="exact"/>
              <w:rPr>
                <w:rFonts w:ascii="Times New Roman"/>
                <w:sz w:val="24"/>
              </w:rPr>
            </w:pPr>
            <w:r>
              <w:rPr>
                <w:rFonts w:ascii="Times New Roman"/>
                <w:sz w:val="24"/>
              </w:rPr>
              <w:t>Deliriants</w:t>
            </w:r>
          </w:p>
        </w:tc>
        <w:tc>
          <w:tcPr>
            <w:tcW w:w="2146" w:type="dxa"/>
          </w:tcPr>
          <w:p w:rsidR="00D4376B" w:rsidRDefault="00D4376B" w:rsidP="005A67CE">
            <w:pPr>
              <w:pStyle w:val="TableParagraph"/>
              <w:spacing w:line="270" w:lineRule="exact"/>
              <w:rPr>
                <w:rFonts w:ascii="Times New Roman"/>
                <w:sz w:val="24"/>
              </w:rPr>
            </w:pPr>
            <w:r>
              <w:rPr>
                <w:rFonts w:ascii="Times New Roman"/>
                <w:sz w:val="24"/>
              </w:rPr>
              <w:t>Hyoscine</w:t>
            </w:r>
          </w:p>
        </w:tc>
        <w:tc>
          <w:tcPr>
            <w:tcW w:w="2976" w:type="dxa"/>
          </w:tcPr>
          <w:p w:rsidR="00D4376B" w:rsidRDefault="00D4376B" w:rsidP="005A67CE">
            <w:pPr>
              <w:pStyle w:val="TableParagraph"/>
              <w:spacing w:line="270" w:lineRule="exact"/>
              <w:rPr>
                <w:rFonts w:ascii="Times New Roman"/>
                <w:sz w:val="24"/>
              </w:rPr>
            </w:pPr>
            <w:r>
              <w:rPr>
                <w:rFonts w:ascii="Times New Roman"/>
                <w:color w:val="202020"/>
                <w:sz w:val="24"/>
              </w:rPr>
              <w:t>Muscarinic acetylcholine</w:t>
            </w:r>
          </w:p>
          <w:p w:rsidR="00D4376B" w:rsidRDefault="00D4376B" w:rsidP="005A67CE">
            <w:pPr>
              <w:pStyle w:val="TableParagraph"/>
              <w:spacing w:line="264" w:lineRule="exact"/>
              <w:rPr>
                <w:rFonts w:ascii="Times New Roman"/>
                <w:sz w:val="24"/>
              </w:rPr>
            </w:pPr>
            <w:r>
              <w:rPr>
                <w:rFonts w:ascii="Times New Roman"/>
                <w:color w:val="202020"/>
                <w:sz w:val="24"/>
              </w:rPr>
              <w:t>receptor antagonist</w:t>
            </w:r>
          </w:p>
        </w:tc>
        <w:tc>
          <w:tcPr>
            <w:tcW w:w="1985" w:type="dxa"/>
          </w:tcPr>
          <w:p w:rsidR="00D4376B" w:rsidRDefault="00D4376B" w:rsidP="005A67CE">
            <w:pPr>
              <w:pStyle w:val="TableParagraph"/>
              <w:spacing w:line="270" w:lineRule="exact"/>
              <w:rPr>
                <w:rFonts w:ascii="Times New Roman"/>
                <w:sz w:val="24"/>
              </w:rPr>
            </w:pPr>
            <w:r>
              <w:rPr>
                <w:rFonts w:ascii="Times New Roman"/>
                <w:sz w:val="24"/>
              </w:rPr>
              <w:t>Plant</w:t>
            </w:r>
          </w:p>
        </w:tc>
        <w:tc>
          <w:tcPr>
            <w:tcW w:w="4253" w:type="dxa"/>
            <w:vMerge w:val="restart"/>
          </w:tcPr>
          <w:p w:rsidR="00D4376B" w:rsidRDefault="00D4376B" w:rsidP="005A67CE">
            <w:pPr>
              <w:pStyle w:val="TableParagraph"/>
              <w:spacing w:line="270" w:lineRule="exact"/>
              <w:ind w:left="108"/>
              <w:rPr>
                <w:rFonts w:ascii="Times New Roman"/>
                <w:sz w:val="24"/>
              </w:rPr>
            </w:pPr>
            <w:r>
              <w:rPr>
                <w:rFonts w:ascii="Times New Roman"/>
                <w:sz w:val="24"/>
              </w:rPr>
              <w:t>Delusions/hallucinations, impaired</w:t>
            </w:r>
          </w:p>
          <w:p w:rsidR="00D4376B" w:rsidRDefault="00D4376B" w:rsidP="005A67CE">
            <w:pPr>
              <w:pStyle w:val="TableParagraph"/>
              <w:spacing w:line="270" w:lineRule="atLeast"/>
              <w:ind w:left="108" w:right="1188"/>
              <w:rPr>
                <w:rFonts w:ascii="Times New Roman"/>
                <w:sz w:val="24"/>
              </w:rPr>
            </w:pPr>
            <w:r>
              <w:rPr>
                <w:rFonts w:ascii="Times New Roman"/>
                <w:sz w:val="24"/>
              </w:rPr>
              <w:t>attention, confusion, agitation, drowsiness</w:t>
            </w:r>
          </w:p>
        </w:tc>
      </w:tr>
      <w:tr w:rsidR="00D4376B">
        <w:trPr>
          <w:trHeight w:val="275"/>
        </w:trPr>
        <w:tc>
          <w:tcPr>
            <w:tcW w:w="2074" w:type="dxa"/>
            <w:vMerge/>
            <w:tcBorders>
              <w:top w:val="nil"/>
            </w:tcBorders>
          </w:tcPr>
          <w:p w:rsidR="00D4376B" w:rsidRDefault="00D4376B" w:rsidP="005A67CE">
            <w:pPr>
              <w:rPr>
                <w:sz w:val="2"/>
                <w:szCs w:val="2"/>
              </w:rPr>
            </w:pPr>
          </w:p>
        </w:tc>
        <w:tc>
          <w:tcPr>
            <w:tcW w:w="2146" w:type="dxa"/>
          </w:tcPr>
          <w:p w:rsidR="00D4376B" w:rsidRDefault="00D4376B" w:rsidP="005A67CE">
            <w:pPr>
              <w:pStyle w:val="TableParagraph"/>
              <w:spacing w:line="256" w:lineRule="exact"/>
              <w:rPr>
                <w:rFonts w:ascii="Times New Roman"/>
                <w:sz w:val="24"/>
              </w:rPr>
            </w:pPr>
            <w:r>
              <w:rPr>
                <w:rFonts w:ascii="Times New Roman"/>
                <w:sz w:val="24"/>
              </w:rPr>
              <w:t>Muscimol</w:t>
            </w:r>
          </w:p>
        </w:tc>
        <w:tc>
          <w:tcPr>
            <w:tcW w:w="2976" w:type="dxa"/>
          </w:tcPr>
          <w:p w:rsidR="00D4376B" w:rsidRDefault="00D4376B" w:rsidP="005A67CE">
            <w:pPr>
              <w:pStyle w:val="TableParagraph"/>
              <w:spacing w:line="256" w:lineRule="exact"/>
              <w:rPr>
                <w:rFonts w:ascii="Times New Roman"/>
                <w:sz w:val="24"/>
              </w:rPr>
            </w:pPr>
            <w:r>
              <w:rPr>
                <w:rFonts w:ascii="Times New Roman"/>
                <w:color w:val="202020"/>
                <w:sz w:val="24"/>
              </w:rPr>
              <w:t>GABA receptor agonist</w:t>
            </w:r>
          </w:p>
        </w:tc>
        <w:tc>
          <w:tcPr>
            <w:tcW w:w="1985" w:type="dxa"/>
          </w:tcPr>
          <w:p w:rsidR="00D4376B" w:rsidRDefault="00D4376B" w:rsidP="005A67CE">
            <w:pPr>
              <w:pStyle w:val="TableParagraph"/>
              <w:spacing w:line="256" w:lineRule="exact"/>
              <w:rPr>
                <w:rFonts w:ascii="Times New Roman"/>
                <w:sz w:val="24"/>
              </w:rPr>
            </w:pPr>
            <w:r>
              <w:rPr>
                <w:rFonts w:ascii="Times New Roman"/>
                <w:sz w:val="24"/>
              </w:rPr>
              <w:t>Mushroom</w:t>
            </w:r>
          </w:p>
        </w:tc>
        <w:tc>
          <w:tcPr>
            <w:tcW w:w="4253" w:type="dxa"/>
            <w:vMerge/>
            <w:tcBorders>
              <w:top w:val="nil"/>
            </w:tcBorders>
          </w:tcPr>
          <w:p w:rsidR="00D4376B" w:rsidRDefault="00D4376B" w:rsidP="005A67CE">
            <w:pPr>
              <w:rPr>
                <w:sz w:val="2"/>
                <w:szCs w:val="2"/>
              </w:rPr>
            </w:pPr>
          </w:p>
        </w:tc>
      </w:tr>
    </w:tbl>
    <w:p w:rsidR="00D4376B" w:rsidRDefault="00D4376B" w:rsidP="00D4376B">
      <w:pPr>
        <w:pStyle w:val="Brdtekst"/>
        <w:spacing w:before="8"/>
        <w:rPr>
          <w:sz w:val="13"/>
        </w:rPr>
      </w:pPr>
    </w:p>
    <w:p w:rsidR="00D4376B" w:rsidRDefault="00D4376B" w:rsidP="00D4376B">
      <w:pPr>
        <w:pStyle w:val="Brdtekst"/>
        <w:spacing w:before="95"/>
        <w:ind w:left="118"/>
      </w:pPr>
      <w:r>
        <w:rPr>
          <w:position w:val="9"/>
          <w:sz w:val="16"/>
        </w:rPr>
        <w:t>a</w:t>
      </w:r>
      <w:r>
        <w:t>Most substances are available in synthetic form</w:t>
      </w:r>
    </w:p>
    <w:p w:rsidR="00D4376B" w:rsidRDefault="00D4376B" w:rsidP="00D4376B">
      <w:pPr>
        <w:pStyle w:val="Brdtekst"/>
        <w:tabs>
          <w:tab w:val="left" w:pos="426"/>
        </w:tabs>
        <w:spacing w:line="360" w:lineRule="auto"/>
        <w:ind w:right="421"/>
        <w:rPr>
          <w:rStyle w:val="None"/>
          <w:rFonts w:eastAsia="Arial Unicode MS"/>
          <w:color w:val="auto"/>
        </w:rPr>
        <w:sectPr w:rsidR="00D4376B">
          <w:headerReference w:type="default" r:id="rId9"/>
          <w:pgSz w:w="16840" w:h="11920" w:orient="landscape"/>
          <w:pgMar w:top="1588" w:right="1321" w:bottom="851" w:left="278" w:header="357" w:footer="0" w:gutter="0"/>
          <w:cols w:space="720"/>
          <w:docGrid w:linePitch="326"/>
        </w:sectPr>
      </w:pPr>
    </w:p>
    <w:p w:rsidR="001000A3" w:rsidRPr="006C2DA7" w:rsidRDefault="00462402" w:rsidP="00207C3D">
      <w:pPr>
        <w:pStyle w:val="Heading"/>
        <w:tabs>
          <w:tab w:val="left" w:pos="426"/>
        </w:tabs>
        <w:ind w:left="0" w:right="371" w:firstLine="426"/>
        <w:rPr>
          <w:rStyle w:val="None"/>
          <w:rFonts w:ascii="Times New Roman" w:hAnsi="Times New Roman" w:cs="Times New Roman"/>
          <w:b w:val="0"/>
          <w:bCs w:val="0"/>
          <w:sz w:val="24"/>
          <w:szCs w:val="24"/>
        </w:rPr>
      </w:pPr>
      <w:r w:rsidRPr="006C2DA7">
        <w:rPr>
          <w:rStyle w:val="None"/>
        </w:rPr>
        <w:t>References</w:t>
      </w:r>
    </w:p>
    <w:p w:rsidR="001000A3" w:rsidRPr="006C2DA7" w:rsidRDefault="001000A3" w:rsidP="006C2DA7">
      <w:pPr>
        <w:pStyle w:val="Brdtekst"/>
        <w:tabs>
          <w:tab w:val="left" w:pos="426"/>
        </w:tabs>
        <w:spacing w:line="360" w:lineRule="auto"/>
        <w:ind w:right="421" w:firstLine="426"/>
        <w:rPr>
          <w:rStyle w:val="None"/>
          <w:rFonts w:ascii="Arial" w:eastAsia="Arial Unicode MS" w:hAnsi="Arial" w:cs="Arial Unicode MS"/>
          <w:b/>
          <w:bCs/>
          <w:sz w:val="32"/>
          <w:szCs w:val="32"/>
        </w:rPr>
      </w:pP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Abbott, A. (2018). The face detective. </w:t>
      </w:r>
      <w:r w:rsidRPr="006C2DA7">
        <w:rPr>
          <w:rStyle w:val="None"/>
          <w:i/>
          <w:iCs/>
        </w:rPr>
        <w:t>Nature</w:t>
      </w:r>
      <w:r w:rsidRPr="006C2DA7">
        <w:rPr>
          <w:rStyle w:val="None"/>
        </w:rPr>
        <w:t>,</w:t>
      </w:r>
      <w:r w:rsidRPr="006C2DA7">
        <w:rPr>
          <w:rStyle w:val="None"/>
          <w:i/>
          <w:iCs/>
        </w:rPr>
        <w:t xml:space="preserve"> 564</w:t>
      </w:r>
      <w:r w:rsidRPr="006C2DA7">
        <w:rPr>
          <w:rStyle w:val="None"/>
        </w:rPr>
        <w:t>(7735), 176-179.</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Baggott, M. J., Coyle, J. R., Siegrist, J. D., Garrison, K. J., Galloway, G. P., &amp; Mendelson, J.E. (2016). Effects of 3, 4-methylenedioxymethamphetamine on socioemotional feelings, authenticity, and autobiographical disclosure in healthy volunteers in a controlled setting. </w:t>
      </w:r>
      <w:r w:rsidRPr="006C2DA7">
        <w:rPr>
          <w:rStyle w:val="None"/>
          <w:i/>
          <w:iCs/>
        </w:rPr>
        <w:t>Journal of Psychopharmacology, 30</w:t>
      </w:r>
      <w:r w:rsidRPr="006C2DA7">
        <w:rPr>
          <w:rStyle w:val="None"/>
        </w:rPr>
        <w:t>(4), 378-387.</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Barkai, E., &amp; Hasselmo, M. E. (1994). Modulation of the input/output function of rat piriform cortex pyramidal cells. </w:t>
      </w:r>
      <w:r w:rsidRPr="006C2DA7">
        <w:rPr>
          <w:rStyle w:val="None"/>
          <w:i/>
          <w:iCs/>
        </w:rPr>
        <w:t>Journal of Neurophysiology, 72</w:t>
      </w:r>
      <w:r w:rsidRPr="006C2DA7">
        <w:rPr>
          <w:rStyle w:val="None"/>
        </w:rPr>
        <w:t>(2), 644-658.</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Bayne, T., &amp; Carter, O. (2018). Dimensions of consciousness and the psychedelic state. </w:t>
      </w:r>
      <w:r w:rsidRPr="006C2DA7">
        <w:rPr>
          <w:rStyle w:val="None"/>
          <w:i/>
          <w:iCs/>
        </w:rPr>
        <w:t>Neuroscience of Consciousness, 4</w:t>
      </w:r>
      <w:r w:rsidRPr="006C2DA7">
        <w:rPr>
          <w:rStyle w:val="None"/>
        </w:rPr>
        <w:t>(1), niy008.</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Beique, J. C., Imad, M., Mladenovic, L., Gingrich, J. A., &amp; Andrade, R. (2007). Mechanism of the 5-hydroxytryptamine 2A receptor-mediated facilitation of synaptic activity in prefrontal cortex. </w:t>
      </w:r>
      <w:r w:rsidRPr="006C2DA7">
        <w:rPr>
          <w:rStyle w:val="None"/>
          <w:i/>
          <w:iCs/>
        </w:rPr>
        <w:t>Proceedings of the National Academy of Sciences</w:t>
      </w:r>
      <w:r w:rsidRPr="006C2DA7">
        <w:rPr>
          <w:rStyle w:val="None"/>
        </w:rPr>
        <w:t xml:space="preserve">, </w:t>
      </w:r>
      <w:r w:rsidRPr="006C2DA7">
        <w:rPr>
          <w:rStyle w:val="None"/>
          <w:i/>
          <w:iCs/>
        </w:rPr>
        <w:t>104</w:t>
      </w:r>
      <w:r w:rsidRPr="006C2DA7">
        <w:rPr>
          <w:rStyle w:val="None"/>
        </w:rPr>
        <w:t>(23), 9870-9875. doi:10.1073/pnas.0700436104</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Berridge, K. C., &amp; Kringelbach, M. L. (2015). Pleasure systems in the brain. </w:t>
      </w:r>
      <w:r w:rsidRPr="006C2DA7">
        <w:rPr>
          <w:rStyle w:val="None"/>
          <w:i/>
          <w:iCs/>
        </w:rPr>
        <w:t>Neuron, 86</w:t>
      </w:r>
      <w:r w:rsidRPr="006C2DA7">
        <w:rPr>
          <w:rStyle w:val="None"/>
        </w:rPr>
        <w:t>(3), 646-664.</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Berry, M. D., Gainetdinov, R. R., Hoener, M. C., &amp; Shahid, M. (2017). Pharmacology of human trace amine-associated receptors: therapeutic opportunities and challenges. </w:t>
      </w:r>
      <w:r w:rsidRPr="006C2DA7">
        <w:rPr>
          <w:rStyle w:val="None"/>
          <w:i/>
          <w:iCs/>
        </w:rPr>
        <w:t>Pharmacology and Therapeutics, 180</w:t>
      </w:r>
      <w:r w:rsidRPr="006C2DA7">
        <w:rPr>
          <w:rStyle w:val="None"/>
        </w:rPr>
        <w:t>, 161-180.</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Bershad, A. K., Weafer, J. J., Kirkpatrick, M. G., Wardle, M. C., Miller, M. A., &amp; de Wit, H. (2016). Oxytocin receptor gene variation predicts subjective responses to MDMA. </w:t>
      </w:r>
      <w:r w:rsidRPr="006C2DA7">
        <w:rPr>
          <w:rStyle w:val="None"/>
          <w:i/>
          <w:iCs/>
        </w:rPr>
        <w:t>Social Neuroscience, 11</w:t>
      </w:r>
      <w:r w:rsidRPr="006C2DA7">
        <w:rPr>
          <w:rStyle w:val="None"/>
        </w:rPr>
        <w:t>(6), 592-599.</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Blanke, O., &amp; Arzy, S. (2005). The out-of-body experience: disturbed self-processing at the temporo-parietal junction. </w:t>
      </w:r>
      <w:r w:rsidRPr="006C2DA7">
        <w:rPr>
          <w:rStyle w:val="None"/>
          <w:i/>
          <w:iCs/>
        </w:rPr>
        <w:t>The Neuroscientist, 11</w:t>
      </w:r>
      <w:r w:rsidRPr="006C2DA7">
        <w:rPr>
          <w:rStyle w:val="None"/>
        </w:rPr>
        <w:t>(1), 16-24.</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Brang, D., &amp; Ramachandran, V. S. (2008). Psychopharmacology of synesthesia; the role of serotonin S2a receptor activation. </w:t>
      </w:r>
      <w:r w:rsidRPr="006C2DA7">
        <w:rPr>
          <w:rStyle w:val="None"/>
          <w:i/>
          <w:iCs/>
        </w:rPr>
        <w:t>Medical Hypotheses, 70</w:t>
      </w:r>
      <w:r w:rsidRPr="006C2DA7">
        <w:rPr>
          <w:rStyle w:val="None"/>
        </w:rPr>
        <w:t>(4), 903-904.</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Brogaard, B. (2013). Serotonergic hyperactivity as a potential factor in developmental, acquired and drug-induced synesthesia. </w:t>
      </w:r>
      <w:r w:rsidRPr="006C2DA7">
        <w:rPr>
          <w:rStyle w:val="None"/>
          <w:i/>
          <w:iCs/>
        </w:rPr>
        <w:t>Frontiers in Human Neuroscience</w:t>
      </w:r>
      <w:r w:rsidRPr="006C2DA7">
        <w:rPr>
          <w:rStyle w:val="None"/>
        </w:rPr>
        <w:t>,</w:t>
      </w:r>
      <w:r w:rsidRPr="006C2DA7">
        <w:rPr>
          <w:rStyle w:val="None"/>
          <w:i/>
          <w:iCs/>
        </w:rPr>
        <w:t xml:space="preserve"> 7 </w:t>
      </w:r>
      <w:r w:rsidRPr="006C2DA7">
        <w:t>(21 October).</w:t>
      </w:r>
      <w:r w:rsidRPr="006C2DA7">
        <w:rPr>
          <w:rStyle w:val="None"/>
        </w:rPr>
        <w:t xml:space="preserve"> doi.org/10.3389/fnhum.2013.00657</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Butelman, E. R., &amp; Kreek, M. J. (2015). Salvinorin A, a kappa-opioid receptor agonist hallucinogen: pharmacology and potential template for novel pharmacotherapeutic agents in neuropsychiatric disorders. </w:t>
      </w:r>
      <w:r w:rsidRPr="006C2DA7">
        <w:rPr>
          <w:rStyle w:val="None"/>
          <w:i/>
          <w:iCs/>
        </w:rPr>
        <w:t xml:space="preserve">Frontiers in Pharmacology, 6 </w:t>
      </w:r>
      <w:r w:rsidRPr="006C2DA7">
        <w:rPr>
          <w:rStyle w:val="None"/>
        </w:rPr>
        <w:t>(8 September). doi.org/10.3389/fphar.2015.00190</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Butler, A. B. (2012). Hallmarks of Consciousness. In: López-Larrea C. (ed) </w:t>
      </w:r>
      <w:r w:rsidRPr="006C2DA7">
        <w:rPr>
          <w:rStyle w:val="None"/>
          <w:i/>
          <w:iCs/>
        </w:rPr>
        <w:t>Sensing in Nature</w:t>
      </w:r>
      <w:r w:rsidRPr="006C2DA7">
        <w:rPr>
          <w:rStyle w:val="None"/>
        </w:rPr>
        <w:t xml:space="preserve"> (pp. 291-309, vol 739). New York: Springer. </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Canal, C. E. (2018). Serotonergic Psychedelics: Experimental Approaches for Assessing Mechanisms of Action. In: Maurer H., Brandt S. (eds) </w:t>
      </w:r>
      <w:r w:rsidRPr="006C2DA7">
        <w:rPr>
          <w:rStyle w:val="None"/>
          <w:i/>
          <w:iCs/>
        </w:rPr>
        <w:t>New Psychoactive Substances. Handbook of Experimental Pharmacology</w:t>
      </w:r>
      <w:r w:rsidRPr="006C2DA7">
        <w:rPr>
          <w:rStyle w:val="None"/>
        </w:rPr>
        <w:t xml:space="preserve"> (vol 252). New York: Springer. doi:10.1007/164_2018_107</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Carhart-Harris, R. L., &amp; Friston, K. (2019). REBUS and the anarchic brain: toward a unified model of the brain action of psychedelics. </w:t>
      </w:r>
      <w:r w:rsidRPr="006C2DA7">
        <w:rPr>
          <w:rStyle w:val="None"/>
          <w:i/>
          <w:iCs/>
        </w:rPr>
        <w:t>Pharmacological Reviews, 71</w:t>
      </w:r>
      <w:r w:rsidRPr="006C2DA7">
        <w:rPr>
          <w:rStyle w:val="None"/>
        </w:rPr>
        <w:t>(3), 316-344.</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Carhart-Harris, R. L., Roseman, L., Bolstridge, M., Demetriou, L., Pannekoek, J. N., Wall, M. B., . . . Murphy, K. (2017). Psilocybin for treatment-resistant depression: fMRI- measured brain mechanisms. </w:t>
      </w:r>
      <w:r w:rsidRPr="006C2DA7">
        <w:rPr>
          <w:rStyle w:val="None"/>
          <w:i/>
          <w:iCs/>
        </w:rPr>
        <w:t>Scientific Reports, 7</w:t>
      </w:r>
      <w:r w:rsidRPr="006C2DA7">
        <w:rPr>
          <w:rStyle w:val="None"/>
        </w:rPr>
        <w:t>(1), 13187.</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Chase, D. L., &amp; Koelle, M. R. (2007). Biogenic amine neurotransmitters in C. elegans. </w:t>
      </w:r>
      <w:r w:rsidRPr="006C2DA7">
        <w:rPr>
          <w:rStyle w:val="None"/>
          <w:i/>
          <w:iCs/>
        </w:rPr>
        <w:t>WormBook</w:t>
      </w:r>
      <w:r w:rsidRPr="006C2DA7">
        <w:rPr>
          <w:rStyle w:val="None"/>
        </w:rPr>
        <w:t>, 1-15. doi:10.1895/wormbook.1.132.1</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Citti, C., Braghiroli, D., Vandelli, M. A., &amp; Cannazza, G. (2018). Pharmaceutical and biomedical analysis of cannabinoids: a critical review. </w:t>
      </w:r>
      <w:r w:rsidRPr="006C2DA7">
        <w:rPr>
          <w:rStyle w:val="None"/>
          <w:i/>
          <w:iCs/>
        </w:rPr>
        <w:t>Journal of Pharmaceutical and Biomedical Analysis, 147</w:t>
      </w:r>
      <w:r w:rsidRPr="006C2DA7">
        <w:rPr>
          <w:rStyle w:val="None"/>
        </w:rPr>
        <w:t>, 565-579.</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Colizzi, M., McGuire, P., Pertwee, R. G., &amp; Bhattacharyya, S. (2016). Effect of cannabis on glutamate signalling in the brain: A systematic review of human and animal evidence. </w:t>
      </w:r>
      <w:r w:rsidRPr="006C2DA7">
        <w:rPr>
          <w:rStyle w:val="None"/>
          <w:i/>
          <w:iCs/>
        </w:rPr>
        <w:t>Neuroscience and Biobehavioral Reviews, 64</w:t>
      </w:r>
      <w:r w:rsidRPr="006C2DA7">
        <w:rPr>
          <w:rStyle w:val="None"/>
        </w:rPr>
        <w:t>, 359-381.</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Crick, F. C., &amp; Koch, C. (2005). What is the function of the claustrum? </w:t>
      </w:r>
      <w:r w:rsidRPr="006C2DA7">
        <w:rPr>
          <w:rStyle w:val="None"/>
          <w:i/>
          <w:iCs/>
        </w:rPr>
        <w:t>Philosophical Transactions of Royal Society London B, 360</w:t>
      </w:r>
      <w:r w:rsidRPr="006C2DA7">
        <w:rPr>
          <w:rStyle w:val="None"/>
        </w:rPr>
        <w:t>(1458), 1271-1279. 10.1098/rstb.2005.1661 [doi]</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Cromwell, H. C., Mears, R. P., Wan, L., &amp; Boutros, N. N. (2008). Sensory gating: a translational effort from basic to clinical science. </w:t>
      </w:r>
      <w:r w:rsidRPr="006C2DA7">
        <w:rPr>
          <w:rStyle w:val="None"/>
          <w:i/>
          <w:iCs/>
        </w:rPr>
        <w:t>Clinical EEG and Neuroscience, 39</w:t>
      </w:r>
      <w:r w:rsidRPr="006C2DA7">
        <w:rPr>
          <w:rStyle w:val="None"/>
        </w:rPr>
        <w:t>(2), 69-72.</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De Ridder, D., Van Laere, K., Dupont, P., Menovsky, T., &amp; Van de Heyning, P. (2007). Visualizing out-of-body experience in the brain. </w:t>
      </w:r>
      <w:r w:rsidRPr="006C2DA7">
        <w:rPr>
          <w:rStyle w:val="None"/>
          <w:i/>
          <w:iCs/>
        </w:rPr>
        <w:t>New England Journal of Medicine, 357</w:t>
      </w:r>
      <w:r w:rsidRPr="006C2DA7">
        <w:rPr>
          <w:rStyle w:val="None"/>
        </w:rPr>
        <w:t>(18), 1829-1833.</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Deco, G., Cruzat, J., Cabral, J., Knudsen, G. M., Carhart-Harris, R. L., Whybrow, P. C., . . . Kringelbach, M. L. (2018). Whole-Brain Multimodal Neuroimaging Model Using Serotonin Receptor Maps Explains Non-linear Functional Effects of LSD. </w:t>
      </w:r>
      <w:r w:rsidRPr="006C2DA7">
        <w:rPr>
          <w:rStyle w:val="None"/>
          <w:i/>
          <w:iCs/>
        </w:rPr>
        <w:t>Current Biology</w:t>
      </w:r>
      <w:r w:rsidRPr="006C2DA7">
        <w:rPr>
          <w:rStyle w:val="None"/>
        </w:rPr>
        <w:t>, 28(19), 3065-3074 e3066. doi:10.1016/j.cub.2018.07.083</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Dehaene, S. (2014). </w:t>
      </w:r>
      <w:r w:rsidRPr="006C2DA7">
        <w:rPr>
          <w:rStyle w:val="None"/>
          <w:i/>
          <w:iCs/>
        </w:rPr>
        <w:t>Consciousness and the brain: deciphering how the brain codes our thoughts:</w:t>
      </w:r>
      <w:r w:rsidRPr="006C2DA7">
        <w:rPr>
          <w:rStyle w:val="None"/>
        </w:rPr>
        <w:t xml:space="preserve"> New York, Viking.</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Dittrich, A. (1998). The standardized psychometric assessment of altered states of consciousness (ASCs) in humans. </w:t>
      </w:r>
      <w:r w:rsidRPr="006C2DA7">
        <w:rPr>
          <w:rStyle w:val="None"/>
          <w:i/>
          <w:iCs/>
        </w:rPr>
        <w:t>Pharmacopsychiatry, 31</w:t>
      </w:r>
      <w:r w:rsidRPr="006C2DA7">
        <w:rPr>
          <w:rStyle w:val="None"/>
        </w:rPr>
        <w:t>(S 2), 80-84.</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Domenech, P., &amp; Koechlin, E. (2015). Executive control and decision-making in the prefrontal cortex. </w:t>
      </w:r>
      <w:r w:rsidRPr="006C2DA7">
        <w:rPr>
          <w:rStyle w:val="None"/>
          <w:i/>
          <w:iCs/>
        </w:rPr>
        <w:t>Current Opinion in Behavioral Sciences, 1</w:t>
      </w:r>
      <w:r w:rsidRPr="006C2DA7">
        <w:rPr>
          <w:rStyle w:val="None"/>
        </w:rPr>
        <w:t>, 101-106.</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dos Santos, R. G., Osório, F. L., Crippa, J. A. S., Riba, J., Zuardi, A. W., &amp; Hallak, J. E. (2016). Antidepressive, anxiolytic, and antiaddictive effects of ayahuasca, psilocybin and lysergic acid diethylamide (LSD): a systematic review of clinical trials published in the last 25 years. </w:t>
      </w:r>
      <w:r w:rsidRPr="006C2DA7">
        <w:rPr>
          <w:rStyle w:val="None"/>
          <w:i/>
          <w:iCs/>
        </w:rPr>
        <w:t>Therapeutic Advances in Psychopharmacology, 6</w:t>
      </w:r>
      <w:r w:rsidRPr="006C2DA7">
        <w:rPr>
          <w:rStyle w:val="None"/>
        </w:rPr>
        <w:t>(3), 193-213.</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Dumont, G., Sweep, F., Van der Steen, R., Hermsen, R., Donders, A., Touw, D., . . . Verkes, R. (2009). Increased oxytocin concentrations and prosocial feelings in humans after ecstasy (3, 4-methylenedioxymethamphetamine) administration. </w:t>
      </w:r>
      <w:r w:rsidRPr="006C2DA7">
        <w:rPr>
          <w:rStyle w:val="None"/>
          <w:i/>
          <w:iCs/>
        </w:rPr>
        <w:t>Social Neuroscience, 4</w:t>
      </w:r>
      <w:r w:rsidRPr="006C2DA7">
        <w:rPr>
          <w:rStyle w:val="None"/>
        </w:rPr>
        <w:t>(4), 359-366.</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Dyakonova, V. E. (2001). Role of opioid peptides in behavior of invertebrates. </w:t>
      </w:r>
      <w:r w:rsidRPr="006C2DA7">
        <w:rPr>
          <w:rStyle w:val="None"/>
          <w:i/>
          <w:iCs/>
        </w:rPr>
        <w:t>Journal of Evolutionary Biochemistry and Physiology, 37</w:t>
      </w:r>
      <w:r w:rsidRPr="006C2DA7">
        <w:rPr>
          <w:rStyle w:val="None"/>
        </w:rPr>
        <w:t>(4), 335-347.</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Edlow, B. L., Takahashi, E., Wu, O., Benner, T., Dai, G., Bu, L., . . . Folkerth, R. D. (2012). Neuroanatomic connectivity of the human ascending arousal system critical to consciousness and its disorders. </w:t>
      </w:r>
      <w:r w:rsidRPr="006C2DA7">
        <w:rPr>
          <w:rStyle w:val="None"/>
          <w:i/>
          <w:iCs/>
        </w:rPr>
        <w:t>Journal of Neuropathology and Experimental Neurology, 71</w:t>
      </w:r>
      <w:r w:rsidRPr="006C2DA7">
        <w:rPr>
          <w:rStyle w:val="None"/>
        </w:rPr>
        <w:t>(6), 531-546. doi:10.1097/NEN.0b013e3182588293</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Elphick, M. R., &amp; Egertova, M. (2001). The neurobiology and evolution of cannabinoid signalling. </w:t>
      </w:r>
      <w:r w:rsidRPr="006C2DA7">
        <w:rPr>
          <w:rStyle w:val="None"/>
          <w:i/>
          <w:iCs/>
        </w:rPr>
        <w:t>Philosophical Transactions of the Royal Society of London B, 356</w:t>
      </w:r>
      <w:r w:rsidRPr="006C2DA7">
        <w:rPr>
          <w:rStyle w:val="None"/>
        </w:rPr>
        <w:t>(1407), 381-408.</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Elsey, J. W. (2017). Psychedelic drug use in healthy individuals: A review of benefits, costs, and implications for drug policy. </w:t>
      </w:r>
      <w:r w:rsidRPr="006C2DA7">
        <w:rPr>
          <w:rStyle w:val="None"/>
          <w:i/>
          <w:iCs/>
        </w:rPr>
        <w:t>Drug Science, Policy and Law, 3.</w:t>
      </w:r>
      <w:r w:rsidRPr="006C2DA7">
        <w:rPr>
          <w:rStyle w:val="None"/>
        </w:rPr>
        <w:t xml:space="preserve"> doi.org/10.1177/2050324517723232</w:t>
      </w:r>
    </w:p>
    <w:p w:rsidR="001000A3" w:rsidRPr="006C2DA7" w:rsidRDefault="00462402" w:rsidP="00D4376B">
      <w:pPr>
        <w:pStyle w:val="Brdtekst"/>
        <w:tabs>
          <w:tab w:val="left" w:pos="426"/>
        </w:tabs>
        <w:spacing w:line="360" w:lineRule="auto"/>
        <w:ind w:left="851" w:right="421" w:hanging="709"/>
      </w:pPr>
      <w:r w:rsidRPr="006C2DA7">
        <w:rPr>
          <w:rStyle w:val="None"/>
        </w:rPr>
        <w:t xml:space="preserve">Farnes, N., Juel, B. E., Nilsen, A. S., Romundstad, L., &amp; Storm, J. F. (2019). Increased signal diversity/complexity of spontaneous EEG in humans given sub-anaesthetic doses of ketamine. </w:t>
      </w:r>
      <w:r w:rsidRPr="006C2DA7">
        <w:rPr>
          <w:rStyle w:val="None"/>
          <w:i/>
          <w:iCs/>
        </w:rPr>
        <w:t xml:space="preserve">bioRxiv. </w:t>
      </w:r>
      <w:r w:rsidRPr="006C2DA7">
        <w:t>doi.org/10.1101/508697</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Feduccia, A. A., &amp; Mithoefer, M. C. (2018). MDMA-assisted psychotherapy for PTSD: are memory reconsolidation and fear extinction underlying mechanisms? </w:t>
      </w:r>
      <w:r w:rsidRPr="006C2DA7">
        <w:rPr>
          <w:rStyle w:val="None"/>
          <w:i/>
          <w:iCs/>
        </w:rPr>
        <w:t>Progress in Neuro-Psychopharmacology and Biological Psychiatry, 84,</w:t>
      </w:r>
      <w:r w:rsidRPr="006C2DA7">
        <w:rPr>
          <w:rStyle w:val="None"/>
        </w:rPr>
        <w:t xml:space="preserve"> 221-228. doi.org/10.1016/j.pnpbp.2018.03.003</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Fieber, L. A. (2019). Neurotransmitters and Neuropeptides of Invertebrates. In J. H. Byrne (Ed.), </w:t>
      </w:r>
      <w:r w:rsidRPr="006C2DA7">
        <w:rPr>
          <w:rStyle w:val="None"/>
          <w:i/>
          <w:iCs/>
        </w:rPr>
        <w:t>The Oxford Handbook of Invertebrate Neurobiology</w:t>
      </w:r>
      <w:r w:rsidRPr="006C2DA7">
        <w:rPr>
          <w:rStyle w:val="None"/>
        </w:rPr>
        <w:t xml:space="preserve"> (pp. 285-301). Oxford: Oxford University Press.</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Frecska, E., Móré, C. E., Vargha, A., &amp; Luna, L. E. (2012). Enhancement of creative expression and entoptic phenomena as after-effects of repeated ayahuasca ceremonies. </w:t>
      </w:r>
      <w:r w:rsidRPr="006C2DA7">
        <w:rPr>
          <w:rStyle w:val="None"/>
          <w:i/>
          <w:iCs/>
        </w:rPr>
        <w:t>Journal of Psychoactive Drugs, 44</w:t>
      </w:r>
      <w:r w:rsidRPr="006C2DA7">
        <w:rPr>
          <w:rStyle w:val="None"/>
        </w:rPr>
        <w:t>(3), 191-199.</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Griffiths, R. R., Richards, W. A., Johnson, M. W., McCann, U. D., &amp; Jesse, R. (2008). Mystical-type experiences occasioned by psilocybin mediate the attribution of personal meaning and spiritual significance 14 months later. </w:t>
      </w:r>
      <w:r w:rsidRPr="006C2DA7">
        <w:rPr>
          <w:rStyle w:val="None"/>
          <w:i/>
          <w:iCs/>
        </w:rPr>
        <w:t>Journal of Psychopharmacology, 22</w:t>
      </w:r>
      <w:r w:rsidRPr="006C2DA7">
        <w:rPr>
          <w:rStyle w:val="None"/>
        </w:rPr>
        <w:t>(6), 621-632.</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Grinde, B. (1996). The biology of visual aesthetics. </w:t>
      </w:r>
      <w:r w:rsidRPr="006C2DA7">
        <w:rPr>
          <w:rStyle w:val="None"/>
          <w:i/>
          <w:iCs/>
        </w:rPr>
        <w:t>Journal of Social and Evolutionary Systems, 19</w:t>
      </w:r>
      <w:r w:rsidRPr="006C2DA7">
        <w:rPr>
          <w:rStyle w:val="None"/>
        </w:rPr>
        <w:t>(1), 31-40.</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Grinde, B. (2000). A biological perspective on musical appreciation. </w:t>
      </w:r>
      <w:r w:rsidRPr="006C2DA7">
        <w:rPr>
          <w:rStyle w:val="None"/>
          <w:i/>
          <w:iCs/>
        </w:rPr>
        <w:t>Nordic Journal of Music Therapy, 9</w:t>
      </w:r>
      <w:r w:rsidRPr="006C2DA7">
        <w:rPr>
          <w:rStyle w:val="None"/>
        </w:rPr>
        <w:t>(2), 18-27. doi.org/10.1080/08098130009477997</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Grinde, B. (2005). Can science promote religion for the benefit of society? </w:t>
      </w:r>
      <w:r w:rsidRPr="006C2DA7">
        <w:rPr>
          <w:rStyle w:val="None"/>
          <w:i/>
          <w:iCs/>
        </w:rPr>
        <w:t>Zygon, 40</w:t>
      </w:r>
      <w:r w:rsidRPr="006C2DA7">
        <w:rPr>
          <w:rStyle w:val="None"/>
        </w:rPr>
        <w:t>(2), 277-288.</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Grinde, B. (2009). An evolutionary perspective on the importance of community relations for quality of life. </w:t>
      </w:r>
      <w:r w:rsidRPr="006C2DA7">
        <w:rPr>
          <w:rStyle w:val="None"/>
          <w:i/>
          <w:iCs/>
        </w:rPr>
        <w:t>ScientificWorldJournal, 9</w:t>
      </w:r>
      <w:r w:rsidRPr="006C2DA7">
        <w:rPr>
          <w:rStyle w:val="None"/>
        </w:rPr>
        <w:t>, 588-605. doi:10.1100/tsw.2009.73</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Grinde, B. (2010). God in the hands of future science. </w:t>
      </w:r>
      <w:r w:rsidRPr="006C2DA7">
        <w:rPr>
          <w:rStyle w:val="None"/>
          <w:i/>
          <w:iCs/>
        </w:rPr>
        <w:t>World Futures, 66</w:t>
      </w:r>
      <w:r w:rsidRPr="006C2DA7">
        <w:rPr>
          <w:rStyle w:val="None"/>
        </w:rPr>
        <w:t>(5), 351-362.</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Grinde, B. (2012a). </w:t>
      </w:r>
      <w:r w:rsidRPr="006C2DA7">
        <w:rPr>
          <w:rStyle w:val="None"/>
          <w:i/>
          <w:iCs/>
        </w:rPr>
        <w:t>The Biology of Happiness</w:t>
      </w:r>
      <w:r w:rsidRPr="006C2DA7">
        <w:rPr>
          <w:rStyle w:val="None"/>
        </w:rPr>
        <w:t>. Dordrecht: Springer.</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Grinde, B. (2012b). </w:t>
      </w:r>
      <w:r w:rsidRPr="006C2DA7">
        <w:rPr>
          <w:rStyle w:val="None"/>
          <w:i/>
          <w:iCs/>
        </w:rPr>
        <w:t xml:space="preserve">Darwinian Happiness: Evolution as a Guide for Living and Understanding Human Behavior </w:t>
      </w:r>
      <w:r w:rsidRPr="006C2DA7">
        <w:rPr>
          <w:rStyle w:val="None"/>
        </w:rPr>
        <w:t>(2. edition ed.). Princeton: The Darwin Press.</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Grinde, B. (2016). </w:t>
      </w:r>
      <w:r w:rsidRPr="006C2DA7">
        <w:rPr>
          <w:rStyle w:val="None"/>
          <w:i/>
          <w:iCs/>
        </w:rPr>
        <w:t>The Evolution of Consciousenss</w:t>
      </w:r>
      <w:r w:rsidRPr="006C2DA7">
        <w:rPr>
          <w:rStyle w:val="None"/>
        </w:rPr>
        <w:t xml:space="preserve">. Switzerland: Springer. </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Grinde, B. (2018). Did consciousness first evolve in the amniotes? </w:t>
      </w:r>
      <w:r w:rsidRPr="006C2DA7">
        <w:rPr>
          <w:rStyle w:val="None"/>
          <w:i/>
          <w:iCs/>
        </w:rPr>
        <w:t>Psychology of Consciousness: Theory, Research, and Practice, 5</w:t>
      </w:r>
      <w:r w:rsidRPr="006C2DA7">
        <w:rPr>
          <w:rStyle w:val="None"/>
        </w:rPr>
        <w:t>, 239-257. doi:http://dx.doi.org/10.1037/cns0000146</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Harman, W. W., McKim, R. H., Mogar, R. E., Fadiman, J., &amp; Stolaroff, M. J. (1966). Psychedelic agents in creative problem-solving: A pilot study. </w:t>
      </w:r>
      <w:r w:rsidRPr="006C2DA7">
        <w:rPr>
          <w:rStyle w:val="None"/>
          <w:i/>
          <w:iCs/>
        </w:rPr>
        <w:t>Psychological Reports, 19</w:t>
      </w:r>
      <w:r w:rsidRPr="006C2DA7">
        <w:rPr>
          <w:rStyle w:val="None"/>
        </w:rPr>
        <w:t>(1), 211-227.</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Heimann, H. (1994). Experience of time and space in model psychoses. In A. Pletxcher &amp; D. Ladewig (Eds.), </w:t>
      </w:r>
      <w:r w:rsidRPr="006C2DA7">
        <w:rPr>
          <w:rStyle w:val="None"/>
          <w:i/>
          <w:iCs/>
        </w:rPr>
        <w:t>50 Years of LSD</w:t>
      </w:r>
      <w:r w:rsidRPr="006C2DA7">
        <w:rPr>
          <w:rStyle w:val="None"/>
        </w:rPr>
        <w:t xml:space="preserve"> (pp. 59-65). New York: The Parthenon Publishing Group.</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Hendricks, P. S., Thorne, C. B., Clark, C. B., Coombs, D. W., &amp; Johnson, M. W. (2015). Classic psychedelic use is associated with reduced psychological distress and suicidality in the United States adult population. </w:t>
      </w:r>
      <w:r w:rsidRPr="006C2DA7">
        <w:rPr>
          <w:rStyle w:val="None"/>
          <w:i/>
          <w:iCs/>
        </w:rPr>
        <w:t>Journal of Psychopharmacology, 29</w:t>
      </w:r>
      <w:r w:rsidRPr="006C2DA7">
        <w:rPr>
          <w:rStyle w:val="None"/>
        </w:rPr>
        <w:t>(3), 280-288.</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Johansen, P.-Ø., &amp; Krebs, T. S. (2015). Psychedelics not linked to mental health problems or suicidal behavior: A population study. </w:t>
      </w:r>
      <w:r w:rsidRPr="006C2DA7">
        <w:rPr>
          <w:rStyle w:val="None"/>
          <w:i/>
          <w:iCs/>
        </w:rPr>
        <w:t>Journal of Psychopharmacology, 29</w:t>
      </w:r>
      <w:r w:rsidRPr="006C2DA7">
        <w:rPr>
          <w:rStyle w:val="None"/>
        </w:rPr>
        <w:t>(3), 270- 279.</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Johnson, M. W., Hendricks, P. S., Barrett, F. S., &amp; Griffiths, R. R. (2019). Classic Psychedelics: An integrative review of epidemiology, mystical experience, brain network function, and therapeutics. </w:t>
      </w:r>
      <w:r w:rsidRPr="006C2DA7">
        <w:rPr>
          <w:rStyle w:val="None"/>
          <w:i/>
          <w:iCs/>
        </w:rPr>
        <w:t>Pharmacology &amp; Therapeutics, 197</w:t>
      </w:r>
      <w:r w:rsidRPr="006C2DA7">
        <w:rPr>
          <w:rStyle w:val="None"/>
        </w:rPr>
        <w:t>. (83-102). doi.org/10.1016/j.pharmthera.2018.11.010</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Jungaberle, H., Thal, S., Zeuch, A., Rougemont-Bücking, A., von Heyden, M., Aicher, H., &amp; Scheidegger, M. (2018). Positive psychology in the investigation of psychedelics and entactogens: A critical review. </w:t>
      </w:r>
      <w:r w:rsidRPr="006C2DA7">
        <w:rPr>
          <w:rStyle w:val="None"/>
          <w:i/>
          <w:iCs/>
        </w:rPr>
        <w:t>Neuropharmacology, 142</w:t>
      </w:r>
      <w:r w:rsidRPr="006C2DA7">
        <w:rPr>
          <w:rStyle w:val="None"/>
        </w:rPr>
        <w:t>, 179-199.</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Justinova, Z., Munzar, P., Panlilio, L. V., Yasar, S., Redhi, G. H., Tanda, G., &amp; Goldberg, S.R. (2008). Blockade of THC-seeking behavior and relapse in monkeys by the cannabinoid CB 1-receptor antagonist rimonabant. </w:t>
      </w:r>
      <w:r w:rsidRPr="006C2DA7">
        <w:rPr>
          <w:rStyle w:val="None"/>
          <w:i/>
          <w:iCs/>
        </w:rPr>
        <w:t>Neuropsychopharmacology, 33</w:t>
      </w:r>
      <w:r w:rsidRPr="006C2DA7">
        <w:rPr>
          <w:rStyle w:val="None"/>
        </w:rPr>
        <w:t>(12), 2870.</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Kamboj, S. K., Kilford, E. J., Minchin, S., Moss, A., Lawn, W., Das, R. K., . . . Freeman, T.P. (2015). Recreational 3, 4-methylenedioxy-N-methylamphetamine (MDMA) or ‘ecstasy’and self-focused compassion: preliminary steps in the development of a therapeutic psychopharmacology of contemplative practices. </w:t>
      </w:r>
      <w:r w:rsidRPr="006C2DA7">
        <w:rPr>
          <w:rStyle w:val="None"/>
          <w:i/>
          <w:iCs/>
        </w:rPr>
        <w:t>Journal of Psychopharmacology, 29</w:t>
      </w:r>
      <w:r w:rsidRPr="006C2DA7">
        <w:rPr>
          <w:rStyle w:val="None"/>
        </w:rPr>
        <w:t>(9), 961-970.</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Kamilar-Britt, P., &amp; Bedi, G. (2015). The prosocial effects of 3, 4- methylenedioxymethamphetamine (MDMA): controlled studies in humans and laboratory animals. </w:t>
      </w:r>
      <w:r w:rsidRPr="006C2DA7">
        <w:rPr>
          <w:rStyle w:val="None"/>
          <w:i/>
          <w:iCs/>
        </w:rPr>
        <w:t>Neuroscience and Biobehavioral Reviews, 57</w:t>
      </w:r>
      <w:r w:rsidRPr="006C2DA7">
        <w:rPr>
          <w:rStyle w:val="None"/>
        </w:rPr>
        <w:t>, 433-446.</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Kaplan, R. M. (2016). Humphry Fortescue Osmond (1917–2004), a radical and conventional psychiatrist: The transcendent years. </w:t>
      </w:r>
      <w:r w:rsidRPr="006C2DA7">
        <w:rPr>
          <w:rStyle w:val="None"/>
          <w:i/>
          <w:iCs/>
        </w:rPr>
        <w:t>Journal of Medical Biography, 24</w:t>
      </w:r>
      <w:r w:rsidRPr="006C2DA7">
        <w:rPr>
          <w:rStyle w:val="None"/>
        </w:rPr>
        <w:t>(1), 115-124.</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Koch, C. (2012). </w:t>
      </w:r>
      <w:r w:rsidRPr="006C2DA7">
        <w:rPr>
          <w:rStyle w:val="None"/>
          <w:i/>
          <w:iCs/>
        </w:rPr>
        <w:t>Consciousness: Confessions of a Romantic Reductionist</w:t>
      </w:r>
      <w:r w:rsidRPr="006C2DA7">
        <w:rPr>
          <w:rStyle w:val="None"/>
        </w:rPr>
        <w:t>. Cambridge, Massachusetts: MIT Press.</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Kringelbach, M. L., &amp; Berridge, K. C. (2009). Towards a functional neuroanatomy of pleasure and happiness. </w:t>
      </w:r>
      <w:r w:rsidRPr="006C2DA7">
        <w:rPr>
          <w:rStyle w:val="None"/>
          <w:i/>
          <w:iCs/>
        </w:rPr>
        <w:t>Trends in Cognitive Sciences, 13</w:t>
      </w:r>
      <w:r w:rsidRPr="006C2DA7">
        <w:rPr>
          <w:rStyle w:val="None"/>
        </w:rPr>
        <w:t>(11), 479-487. doi:S1364- 6613(09)00172-7 [pii]</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Leknes, S., &amp; Tracey, I. (2008). A common neurobiology for pain and pleasure. </w:t>
      </w:r>
      <w:r w:rsidRPr="006C2DA7">
        <w:rPr>
          <w:rStyle w:val="None"/>
          <w:i/>
          <w:iCs/>
        </w:rPr>
        <w:t>Nature Reviews Neuroscience, 9</w:t>
      </w:r>
      <w:r w:rsidRPr="006C2DA7">
        <w:rPr>
          <w:rStyle w:val="None"/>
        </w:rPr>
        <w:t>(4), 314-320. doi:nrn2333 [pii];10.1038/nrn2333</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Letheby, C., &amp; Gerrans, P. (2017). Self unbound: ego dissolution in psychedelic experience. </w:t>
      </w:r>
      <w:r w:rsidRPr="006C2DA7">
        <w:rPr>
          <w:rStyle w:val="None"/>
          <w:i/>
          <w:iCs/>
        </w:rPr>
        <w:t>Neuroscience of Consciousness</w:t>
      </w:r>
      <w:r w:rsidR="007A0BF0">
        <w:rPr>
          <w:rStyle w:val="None"/>
        </w:rPr>
        <w:t>, 1-11. doi:</w:t>
      </w:r>
      <w:bookmarkStart w:id="0" w:name="_GoBack"/>
      <w:bookmarkEnd w:id="0"/>
      <w:r w:rsidRPr="006C2DA7">
        <w:rPr>
          <w:rStyle w:val="None"/>
        </w:rPr>
        <w:t>10.1093/nc/nix016</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Li, F., &amp; Tsien, J. Z. (2009). Memory and the NMDA receptors. </w:t>
      </w:r>
      <w:r w:rsidRPr="006C2DA7">
        <w:rPr>
          <w:rStyle w:val="None"/>
          <w:i/>
          <w:iCs/>
        </w:rPr>
        <w:t>The New England Journal of Medicine, 361</w:t>
      </w:r>
      <w:r w:rsidRPr="006C2DA7">
        <w:rPr>
          <w:rStyle w:val="None"/>
        </w:rPr>
        <w:t>(3), 302.</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Majić, T., Schmidt, T. T., &amp; Gallinat, J. (2015). Peak experiences and the afterglow phenomenon: when and how do therapeutic effects of hallucinogens depend on psychedelic experiences? </w:t>
      </w:r>
      <w:r w:rsidRPr="006C2DA7">
        <w:rPr>
          <w:rStyle w:val="None"/>
          <w:i/>
          <w:iCs/>
        </w:rPr>
        <w:t>Journal of Psychopharmacology, 29</w:t>
      </w:r>
      <w:r w:rsidRPr="006C2DA7">
        <w:rPr>
          <w:rStyle w:val="None"/>
        </w:rPr>
        <w:t>(3), 241-253.</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Maqueda, A. E., Valle, M., Addy, P. H., Antonijoan, R. M., Puntes, M., Coimbra, J., . . . Claramunt, J. (2016). Naltrexone but not ketanserin antagonizes the subjective, cardiovascular, and neuroendocrine effects of salvinorin-A in humans. </w:t>
      </w:r>
      <w:r w:rsidRPr="006C2DA7">
        <w:rPr>
          <w:rStyle w:val="None"/>
          <w:i/>
          <w:iCs/>
        </w:rPr>
        <w:t>International Journal of Neuropsychopharmacology, 19</w:t>
      </w:r>
      <w:r w:rsidRPr="006C2DA7">
        <w:rPr>
          <w:rStyle w:val="None"/>
        </w:rPr>
        <w:t>(7). doi.org/10.1093/ijnp/pyw016</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Mathew, C. A. Z. S. J., Mathew, S. J., &amp; Zarate Jr, C. A. (2016). </w:t>
      </w:r>
      <w:r w:rsidRPr="006C2DA7">
        <w:rPr>
          <w:rStyle w:val="None"/>
          <w:i/>
          <w:iCs/>
        </w:rPr>
        <w:t xml:space="preserve">Ketamine for Treatment- Resistant Depression. </w:t>
      </w:r>
      <w:r w:rsidRPr="006C2DA7">
        <w:t>Dodrecht:</w:t>
      </w:r>
      <w:r w:rsidRPr="006C2DA7">
        <w:rPr>
          <w:rStyle w:val="None"/>
        </w:rPr>
        <w:t xml:space="preserve"> Springer.</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Meltzer, H. Y., &amp; Massey, B. W. (2011). The role of serotonin receptors in the action of atypical antipsychotic drugs. </w:t>
      </w:r>
      <w:r w:rsidRPr="006C2DA7">
        <w:rPr>
          <w:rStyle w:val="None"/>
          <w:i/>
          <w:iCs/>
        </w:rPr>
        <w:t>Current Opinion in Pharmacology, 11</w:t>
      </w:r>
      <w:r w:rsidRPr="006C2DA7">
        <w:rPr>
          <w:rStyle w:val="None"/>
        </w:rPr>
        <w:t>(1), 59-67. doi:10.1016/j.coph.2011.02.007</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Merlin, M. D. (2003). Archaeological evidence for the tradition of psychoactive plant use in the old world. </w:t>
      </w:r>
      <w:r w:rsidRPr="006C2DA7">
        <w:rPr>
          <w:rStyle w:val="None"/>
          <w:i/>
          <w:iCs/>
        </w:rPr>
        <w:t>Economic Botany, 57</w:t>
      </w:r>
      <w:r w:rsidRPr="006C2DA7">
        <w:rPr>
          <w:rStyle w:val="None"/>
        </w:rPr>
        <w:t>(3), 295-323.</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Muthukumaraswamy, S. D., Carhart-Harris, R. L., Moran, R. J., Brookes, M. J., Williams, T. M., Errtizoe, D., . . . Singh, K. D. (2013). Broadband cortical desynchronization underlies the human psychedelic state. </w:t>
      </w:r>
      <w:r w:rsidRPr="006C2DA7">
        <w:rPr>
          <w:rStyle w:val="None"/>
          <w:i/>
          <w:iCs/>
        </w:rPr>
        <w:t>Journal of Neuroscience, 33</w:t>
      </w:r>
      <w:r w:rsidRPr="006C2DA7">
        <w:rPr>
          <w:rStyle w:val="None"/>
        </w:rPr>
        <w:t>(38), 15171-15183.</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Naughton, M., Clarke, G., Olivia, F., Cryan, J. F., &amp; Dinan, T. G. (2014). A review of ketamine in affective disorders: current evidence of clinical efficacy, limitations of use and pre-clinical evidence on proposed mechanisms of action. </w:t>
      </w:r>
      <w:r w:rsidRPr="006C2DA7">
        <w:rPr>
          <w:rStyle w:val="None"/>
          <w:i/>
          <w:iCs/>
        </w:rPr>
        <w:t>Journal of Affective Disorders, 156</w:t>
      </w:r>
      <w:r w:rsidRPr="006C2DA7">
        <w:rPr>
          <w:rStyle w:val="None"/>
        </w:rPr>
        <w:t>, 24-35.</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Nesse, R. M. (2000). Natural selection, mental modules and intelligence. </w:t>
      </w:r>
      <w:r w:rsidRPr="006C2DA7">
        <w:rPr>
          <w:rStyle w:val="None"/>
          <w:i/>
          <w:iCs/>
        </w:rPr>
        <w:t>Novartis Foundation Symposium, 233,</w:t>
      </w:r>
      <w:r w:rsidRPr="006C2DA7">
        <w:rPr>
          <w:rStyle w:val="None"/>
        </w:rPr>
        <w:t xml:space="preserve"> 96-104; discussion 105-121.</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Nichols, D. E. (2016). Psychedelics. </w:t>
      </w:r>
      <w:r w:rsidRPr="006C2DA7">
        <w:rPr>
          <w:rStyle w:val="None"/>
          <w:i/>
          <w:iCs/>
        </w:rPr>
        <w:t>Pharmacological Reviews, 68</w:t>
      </w:r>
      <w:r w:rsidRPr="006C2DA7">
        <w:rPr>
          <w:rStyle w:val="None"/>
        </w:rPr>
        <w:t>(2), 264-355.</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Oleson, E. B., &amp; Cheer, J. F. (2012). A brain on cannabinoids: the role of dopamine release in reward seeking. </w:t>
      </w:r>
      <w:r w:rsidRPr="006C2DA7">
        <w:rPr>
          <w:rStyle w:val="None"/>
          <w:i/>
          <w:iCs/>
        </w:rPr>
        <w:t>Cold Spring Harbor Perspectives in Medicine, 2</w:t>
      </w:r>
      <w:r w:rsidRPr="006C2DA7">
        <w:rPr>
          <w:rStyle w:val="None"/>
        </w:rPr>
        <w:t>(8), a012229.</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Olson, D. E. (2018). Psychoplastogens: A Promising Class of Plasticity-Promoting Neurotherapeutics. </w:t>
      </w:r>
      <w:r w:rsidRPr="006C2DA7">
        <w:rPr>
          <w:rStyle w:val="None"/>
          <w:i/>
          <w:iCs/>
        </w:rPr>
        <w:t>Journal of Experimental Neuroscience, 12.</w:t>
      </w:r>
      <w:r w:rsidRPr="006C2DA7">
        <w:rPr>
          <w:rStyle w:val="None"/>
        </w:rPr>
        <w:t xml:space="preserve"> doi.org/10.1177/1179069518800508</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Pagotto, U., Marsicano, G., Cota, D., Lutz, B., &amp; Pasquali, R. (2005). The emerging role of the endocannabinoid system in endocrine regulation and energy balance. </w:t>
      </w:r>
      <w:r w:rsidRPr="006C2DA7">
        <w:rPr>
          <w:rStyle w:val="None"/>
          <w:i/>
          <w:iCs/>
        </w:rPr>
        <w:t>Endocrine Reviews, 27</w:t>
      </w:r>
      <w:r w:rsidRPr="006C2DA7">
        <w:rPr>
          <w:rStyle w:val="None"/>
        </w:rPr>
        <w:t>(1), 73-100.</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Palhano-Fontes, F., Barreto, D., Onias, H., Andrade, K. C., Novaes, M. M., Pessoa, J. A., . . . dos Santos, R. G. (2019). Rapid antidepressant effects of the psychedelic ayahuasca in treatment-resistant depression: a randomized placebo-controlled trial. </w:t>
      </w:r>
      <w:r w:rsidRPr="006C2DA7">
        <w:rPr>
          <w:rStyle w:val="None"/>
          <w:i/>
          <w:iCs/>
        </w:rPr>
        <w:t>Psychological Medicine, 49</w:t>
      </w:r>
      <w:r w:rsidRPr="006C2DA7">
        <w:t>(4), 655-663. doi.org/10.1017/S0033291718001356</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Panayiotopoulos, C. (2007). </w:t>
      </w:r>
      <w:r w:rsidRPr="006C2DA7">
        <w:rPr>
          <w:rStyle w:val="None"/>
          <w:i/>
          <w:iCs/>
        </w:rPr>
        <w:t>A Clinical Guide to Epileptic Syndromes and their Treatment.</w:t>
      </w:r>
      <w:r w:rsidRPr="006C2DA7">
        <w:rPr>
          <w:rStyle w:val="None"/>
        </w:rPr>
        <w:t xml:space="preserve"> New York: Springer.</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Raichle, M. E. (2015). The brain's default mode network. </w:t>
      </w:r>
      <w:r w:rsidRPr="006C2DA7">
        <w:rPr>
          <w:rStyle w:val="None"/>
          <w:i/>
          <w:iCs/>
        </w:rPr>
        <w:t>Annual Review of Neuroscience, 38</w:t>
      </w:r>
      <w:r w:rsidRPr="006C2DA7">
        <w:rPr>
          <w:rStyle w:val="None"/>
        </w:rPr>
        <w:t>, 433-447.</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Rasmussen, N. (2008). America’s first amphetamine epidemic 1929–1971: a quantitative and qualitative retrospective with implications for the present. </w:t>
      </w:r>
      <w:r w:rsidRPr="006C2DA7">
        <w:rPr>
          <w:rStyle w:val="None"/>
          <w:i/>
          <w:iCs/>
        </w:rPr>
        <w:t>American Journal of Public Health, 98</w:t>
      </w:r>
      <w:r w:rsidRPr="006C2DA7">
        <w:rPr>
          <w:rStyle w:val="None"/>
        </w:rPr>
        <w:t>(6), 974-985.</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Reynolds, H. T., Vijayakumar, V., Gluck</w:t>
      </w:r>
      <w:r w:rsidRPr="006C2DA7">
        <w:rPr>
          <w:rStyle w:val="None"/>
          <w:rFonts w:ascii="Arial Unicode MS" w:eastAsia="Arial Unicode MS" w:hAnsi="Arial Unicode MS" w:cs="Arial Unicode MS"/>
        </w:rPr>
        <w:t>‐</w:t>
      </w:r>
      <w:r w:rsidRPr="006C2DA7">
        <w:rPr>
          <w:rStyle w:val="None"/>
        </w:rPr>
        <w:t xml:space="preserve"> Thaler, E., Korotkin, H. B., Matheny, P. B., &amp; Slot, J. C. (2018). Horizontal gene cluster transfer increased hallucinogenic mushroom diversity. </w:t>
      </w:r>
      <w:r w:rsidRPr="006C2DA7">
        <w:rPr>
          <w:rStyle w:val="None"/>
          <w:i/>
          <w:iCs/>
        </w:rPr>
        <w:t>Evolution Letters, 2</w:t>
      </w:r>
      <w:r w:rsidRPr="006C2DA7">
        <w:rPr>
          <w:rStyle w:val="None"/>
        </w:rPr>
        <w:t>(2), 88-101.</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Riba, J., Romero, S., Grasa, E., Mena, E., Carrio, I., &amp; Barbanoj, M. J. (2006). Increased frontal and paralimbic activation following ayahuasca, the pan-Amazonian inebriant. </w:t>
      </w:r>
      <w:r w:rsidRPr="006C2DA7">
        <w:rPr>
          <w:rStyle w:val="None"/>
          <w:i/>
          <w:iCs/>
        </w:rPr>
        <w:t>Psychopharmacology, 186</w:t>
      </w:r>
      <w:r w:rsidRPr="006C2DA7">
        <w:rPr>
          <w:rStyle w:val="None"/>
        </w:rPr>
        <w:t>(1), 93-98. doi:10.1007/s00213-006-0358-7</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Roth, B. L., Baner, K., Westkaemper, R., Siebert, D., Rice, K. C., Steinberg, S., . . . Rothman, R. B. (2002). Salvinorin A: a potent Aaturally occurring nonnitrogenous κ opioid selective agonist. </w:t>
      </w:r>
      <w:r w:rsidRPr="006C2DA7">
        <w:rPr>
          <w:rStyle w:val="None"/>
          <w:i/>
          <w:iCs/>
        </w:rPr>
        <w:t>Proceedings of the National academy of Sciences, 99</w:t>
      </w:r>
      <w:r w:rsidRPr="006C2DA7">
        <w:rPr>
          <w:rStyle w:val="None"/>
        </w:rPr>
        <w:t>(18), 11934- 11939.</w:t>
      </w:r>
    </w:p>
    <w:p w:rsidR="001000A3" w:rsidRPr="006C2DA7" w:rsidRDefault="00462402" w:rsidP="00D4376B">
      <w:pPr>
        <w:pStyle w:val="Brdtekst"/>
        <w:tabs>
          <w:tab w:val="left" w:pos="426"/>
        </w:tabs>
        <w:spacing w:line="360" w:lineRule="auto"/>
        <w:ind w:left="851" w:right="421" w:hanging="709"/>
      </w:pPr>
      <w:r w:rsidRPr="006C2DA7">
        <w:rPr>
          <w:rStyle w:val="None"/>
        </w:rPr>
        <w:t xml:space="preserve">Russ, S. L., Carhart-harris, R. L., Maruyama, G., &amp; Elliott, M. S. (2019). States and Traits Related to the Quality and Consequences of Psychedelic Experiences. </w:t>
      </w:r>
      <w:r w:rsidRPr="006C2DA7">
        <w:rPr>
          <w:rStyle w:val="None"/>
          <w:i/>
          <w:iCs/>
        </w:rPr>
        <w:t>Psychology of Consciousness: Theory, Research, and Practice, 6</w:t>
      </w:r>
      <w:r w:rsidRPr="006C2DA7">
        <w:t>(1), 1–21. doi.org/10.1037/cns0000169</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Saalmann, Y. B. (2014). Intralaminar and medial thalamic influence on cortical synchrony, information transmission and cognition. </w:t>
      </w:r>
      <w:r w:rsidRPr="006C2DA7">
        <w:rPr>
          <w:rStyle w:val="None"/>
          <w:i/>
          <w:iCs/>
        </w:rPr>
        <w:t>Frontiers in Systems Neuroscience, 8</w:t>
      </w:r>
      <w:r w:rsidRPr="006C2DA7">
        <w:rPr>
          <w:rStyle w:val="None"/>
        </w:rPr>
        <w:t>, 83. doi:10.3389/fnsys.2014.00083</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Sassano-Higgins, S., Baron, D., Juarez, G., Esmaili, N., &amp; Gold, M. (2016). A review of ketamine abuse and diversion. </w:t>
      </w:r>
      <w:r w:rsidRPr="006C2DA7">
        <w:rPr>
          <w:rStyle w:val="None"/>
          <w:i/>
          <w:iCs/>
        </w:rPr>
        <w:t>Depression and Anxiety, 33</w:t>
      </w:r>
      <w:r w:rsidRPr="006C2DA7">
        <w:rPr>
          <w:rStyle w:val="None"/>
        </w:rPr>
        <w:t>(8), 718-727.</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Schiff, N. D. (2009). Central thalamic deep-brain stimulation in the severely injured brain: rationale and proposed mechanisms of action. </w:t>
      </w:r>
      <w:r w:rsidRPr="006C2DA7">
        <w:rPr>
          <w:rStyle w:val="None"/>
          <w:i/>
          <w:iCs/>
        </w:rPr>
        <w:t>Annals of the New York Academy of Sciences, 1157</w:t>
      </w:r>
      <w:r w:rsidRPr="006C2DA7">
        <w:rPr>
          <w:rStyle w:val="None"/>
        </w:rPr>
        <w:t>, 101-116. doi:10.1111/j.1749-6632.2008.04123.x</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Schultes, R. E., Hofmann, A., &amp; Rätsch, C. (2001). </w:t>
      </w:r>
      <w:r w:rsidRPr="006C2DA7">
        <w:rPr>
          <w:rStyle w:val="None"/>
          <w:i/>
          <w:iCs/>
        </w:rPr>
        <w:t>Plants of the gods: their sacred, healing, and hallucinogenic powers.</w:t>
      </w:r>
      <w:r w:rsidRPr="006C2DA7">
        <w:rPr>
          <w:rStyle w:val="None"/>
        </w:rPr>
        <w:t xml:space="preserve"> </w:t>
      </w:r>
      <w:r w:rsidRPr="006C2DA7">
        <w:t xml:space="preserve">Rochester, VT: </w:t>
      </w:r>
      <w:r w:rsidRPr="006C2DA7">
        <w:rPr>
          <w:rStyle w:val="None"/>
        </w:rPr>
        <w:t>Healing Arts Press.</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Seth, A. K., Baars, B. J., &amp; Edelman, D. B. (2005). Criteria for consciousness in humans and other mammals. </w:t>
      </w:r>
      <w:r w:rsidRPr="006C2DA7">
        <w:rPr>
          <w:rStyle w:val="None"/>
          <w:i/>
          <w:iCs/>
        </w:rPr>
        <w:t>Consciousness and Cognition, 14</w:t>
      </w:r>
      <w:r w:rsidRPr="006C2DA7">
        <w:rPr>
          <w:rStyle w:val="None"/>
        </w:rPr>
        <w:t xml:space="preserve">(1), 119-139. doi:S1053-8100(04)00089-3 </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Siegel, R. K. (2005). </w:t>
      </w:r>
      <w:r w:rsidRPr="006C2DA7">
        <w:rPr>
          <w:rStyle w:val="None"/>
          <w:i/>
          <w:iCs/>
        </w:rPr>
        <w:t>Intoxication: The Universal Drive for Mind-Altering Substances.</w:t>
      </w:r>
      <w:r w:rsidRPr="006C2DA7">
        <w:rPr>
          <w:rStyle w:val="None"/>
        </w:rPr>
        <w:t xml:space="preserve"> Rochester, VT: Inner Traditions.</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Sierra, M., &amp; Berrios, G. E. (2001). The phenomenological stability of depersonalization: comparing the old with the new. </w:t>
      </w:r>
      <w:r w:rsidRPr="006C2DA7">
        <w:rPr>
          <w:rStyle w:val="None"/>
          <w:i/>
          <w:iCs/>
        </w:rPr>
        <w:t>The Journal of Nervous and Mental Disease, 189</w:t>
      </w:r>
      <w:r w:rsidRPr="006C2DA7">
        <w:rPr>
          <w:rStyle w:val="None"/>
        </w:rPr>
        <w:t>(9), 629-636.</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Smith, D., Bouchal, R., DeSanctis, C., Monroe, P., Amedro, J., Perrotti, J., &amp; Crisp, T. (1987). Properties of the interaction between ketamine and opiate binding sites in vivo and in vitro. </w:t>
      </w:r>
      <w:r w:rsidRPr="006C2DA7">
        <w:rPr>
          <w:rStyle w:val="None"/>
          <w:i/>
          <w:iCs/>
        </w:rPr>
        <w:t>Neuropharmacology, 26</w:t>
      </w:r>
      <w:r w:rsidRPr="006C2DA7">
        <w:rPr>
          <w:rStyle w:val="None"/>
        </w:rPr>
        <w:t>(9), 1253-1260.</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Stangeland, H., Orgeta, V., &amp; Bell, V. (2018). Poststroke psychosis: a systematic review. </w:t>
      </w:r>
      <w:r w:rsidRPr="006C2DA7">
        <w:rPr>
          <w:rStyle w:val="None"/>
          <w:i/>
          <w:iCs/>
        </w:rPr>
        <w:t>Journal of Neurology, Neurosurgery and Psychiatry, 89</w:t>
      </w:r>
      <w:r w:rsidRPr="006C2DA7">
        <w:rPr>
          <w:rStyle w:val="None"/>
        </w:rPr>
        <w:t>(8), 879-885.</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Steriade, M. (1996). Arousal: revisiting the reticular activating system. </w:t>
      </w:r>
      <w:r w:rsidRPr="006C2DA7">
        <w:rPr>
          <w:rStyle w:val="None"/>
          <w:i/>
          <w:iCs/>
        </w:rPr>
        <w:t>Science, 272</w:t>
      </w:r>
      <w:r w:rsidRPr="006C2DA7">
        <w:rPr>
          <w:rStyle w:val="None"/>
        </w:rPr>
        <w:t>(5259), 225-226.</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Stone, J., Kotoula, V., Dietrich, C., De Simoni, S., Krystal, J. H., &amp; Mehta, M. A. (2015). Perceptual distortions and delusional thinking following ketamine administration are related to increased pharmacological MRI signal changes in the parietal lobe. </w:t>
      </w:r>
      <w:r w:rsidRPr="006C2DA7">
        <w:rPr>
          <w:rStyle w:val="None"/>
          <w:i/>
          <w:iCs/>
        </w:rPr>
        <w:t>Journal of Psychopharmacology, 29</w:t>
      </w:r>
      <w:r w:rsidRPr="006C2DA7">
        <w:rPr>
          <w:rStyle w:val="None"/>
        </w:rPr>
        <w:t>(9), 1025-1028.</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Swanson, L. R. (2018). Unifying Theories of Psychedelic Drug Effects. </w:t>
      </w:r>
      <w:r w:rsidRPr="006C2DA7">
        <w:rPr>
          <w:rStyle w:val="None"/>
          <w:i/>
          <w:iCs/>
        </w:rPr>
        <w:t>Frontiers in Pharmacology, 9</w:t>
      </w:r>
      <w:r w:rsidRPr="006C2DA7">
        <w:rPr>
          <w:rStyle w:val="None"/>
        </w:rPr>
        <w:t>. doi.org/10.3389/fphar.2018.00172</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Sweat, N. W., Bates, L. W., &amp; Hendricks, P. S. (2016). The associations of naturalistic classic psychedelic use, mystical experience, and creative problem solving. </w:t>
      </w:r>
      <w:r w:rsidRPr="006C2DA7">
        <w:rPr>
          <w:rStyle w:val="None"/>
          <w:i/>
          <w:iCs/>
        </w:rPr>
        <w:t>Journal of Psychoactive Drugs, 48</w:t>
      </w:r>
      <w:r w:rsidRPr="006C2DA7">
        <w:rPr>
          <w:rStyle w:val="None"/>
        </w:rPr>
        <w:t>(5), 344-350.</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Tamietto, M., &amp; de Gelder, B. (2010). Neural bases of the non-conscious perception of emotional signals. </w:t>
      </w:r>
      <w:r w:rsidRPr="006C2DA7">
        <w:rPr>
          <w:rStyle w:val="None"/>
          <w:i/>
          <w:iCs/>
        </w:rPr>
        <w:t>Nature Reviews Neuroscience, 11</w:t>
      </w:r>
      <w:r w:rsidRPr="006C2DA7">
        <w:rPr>
          <w:rStyle w:val="None"/>
        </w:rPr>
        <w:t>(10), 697-709. doi.org/10.1038/nrn2889</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Thompson, M., Callaghan, P., Hunt, G., Cornish, J., &amp; McGregor, I. (2007). A role for oxytocin and 5-HT 1A receptors in the prosocial effects of 3, 4 methylenedioxymethamphetamine (“ecstasy”). </w:t>
      </w:r>
      <w:r w:rsidRPr="006C2DA7">
        <w:rPr>
          <w:rStyle w:val="None"/>
          <w:i/>
          <w:iCs/>
        </w:rPr>
        <w:t>Neuroscience, 146</w:t>
      </w:r>
      <w:r w:rsidRPr="006C2DA7">
        <w:rPr>
          <w:rStyle w:val="None"/>
        </w:rPr>
        <w:t>(2), 509-514.</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Trzepacz, P. T. (2000). Is there a final common neural pathway in delirium? Focus on acetylcholine and dopamine. Paper presented at the Seminars in Clinical Neuropsychiatry.</w:t>
      </w:r>
    </w:p>
    <w:p w:rsidR="001000A3" w:rsidRPr="006C2DA7" w:rsidRDefault="00462402" w:rsidP="00D4376B">
      <w:pPr>
        <w:pStyle w:val="Brdtekst"/>
        <w:tabs>
          <w:tab w:val="left" w:pos="426"/>
        </w:tabs>
        <w:spacing w:line="360" w:lineRule="auto"/>
        <w:ind w:left="851" w:right="421" w:hanging="709"/>
        <w:rPr>
          <w:rStyle w:val="None"/>
        </w:rPr>
      </w:pPr>
      <w:r w:rsidRPr="009D5F1E">
        <w:rPr>
          <w:rStyle w:val="None"/>
        </w:rPr>
        <w:t xml:space="preserve">van Wel, J. H., Kuypers, K. P., Theunissen, E. L., Bosker, W. M., Bakker, K., &amp; Ramaekers, J. G. (2012). </w:t>
      </w:r>
      <w:r w:rsidRPr="006C2DA7">
        <w:rPr>
          <w:rStyle w:val="None"/>
        </w:rPr>
        <w:t xml:space="preserve">Effects of acute MDMA intoxication on mood and impulsivity: role of the 5-HT2 and 5-HT1 receptors. </w:t>
      </w:r>
      <w:r w:rsidRPr="006C2DA7">
        <w:rPr>
          <w:rStyle w:val="None"/>
          <w:i/>
          <w:iCs/>
        </w:rPr>
        <w:t>PloS One, 7</w:t>
      </w:r>
      <w:r w:rsidRPr="006C2DA7">
        <w:rPr>
          <w:rStyle w:val="None"/>
        </w:rPr>
        <w:t>(7), e40187.</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Volgin, A. D., Yakovlev, O. A., Demin, K. A., Alekseeva, P. A., Kyzar, E. J., Collins, C., . . . Kalueff, A. V. (2019). Understanding Central Nervous System Effects of Deliriant Hallucinogenic Drugs through Experimental Animal Models. </w:t>
      </w:r>
      <w:r w:rsidRPr="006C2DA7">
        <w:rPr>
          <w:rStyle w:val="None"/>
          <w:i/>
          <w:iCs/>
        </w:rPr>
        <w:t>ACS Chemical Neuroscience, 10</w:t>
      </w:r>
      <w:r w:rsidRPr="006C2DA7">
        <w:t>(1) 143-154. doi.org/10.1021/acschemneuro.8b00433</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Vollenweider, F. X., &amp; Geyer, M. A. (2001). A systems model of altered consciousness: integrating natural and drug-induced psychoses. </w:t>
      </w:r>
      <w:r w:rsidRPr="006C2DA7">
        <w:rPr>
          <w:rStyle w:val="None"/>
          <w:i/>
          <w:iCs/>
        </w:rPr>
        <w:t>Brain Research Bulletin, 56</w:t>
      </w:r>
      <w:r w:rsidRPr="006C2DA7">
        <w:rPr>
          <w:rStyle w:val="None"/>
        </w:rPr>
        <w:t>(5), 495- 507.</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Vollenweider, F. X., Vollenweider-Scherpenhuyzen, M. F. I., Babler, A., Vogel, H., &amp; Hell, D. (1998). Psilocybin induces schizophrenia-like psychosis in humans via a serotonin- 2 agonist action. </w:t>
      </w:r>
      <w:r w:rsidRPr="006C2DA7">
        <w:rPr>
          <w:rStyle w:val="None"/>
          <w:i/>
          <w:iCs/>
        </w:rPr>
        <w:t>Neuroreport, 9</w:t>
      </w:r>
      <w:r w:rsidRPr="006C2DA7">
        <w:rPr>
          <w:rStyle w:val="None"/>
        </w:rPr>
        <w:t>(17), 3897-3902.</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Vuilleumier, P. (2004). Anosognosia: the neurology of beliefs and uncertainties. </w:t>
      </w:r>
      <w:r w:rsidRPr="006C2DA7">
        <w:rPr>
          <w:rStyle w:val="None"/>
          <w:i/>
          <w:iCs/>
        </w:rPr>
        <w:t>Cortex, 40</w:t>
      </w:r>
      <w:r w:rsidRPr="006C2DA7">
        <w:rPr>
          <w:rStyle w:val="None"/>
        </w:rPr>
        <w:t>(1), 9-17.</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Wheless, J. W., Willmore, J., &amp; Brumback, R. A. (2009). </w:t>
      </w:r>
      <w:r w:rsidRPr="006C2DA7">
        <w:rPr>
          <w:rStyle w:val="None"/>
          <w:i/>
          <w:iCs/>
        </w:rPr>
        <w:t>Advanced Therapy in Epilepsy.</w:t>
      </w:r>
      <w:r w:rsidRPr="006C2DA7">
        <w:rPr>
          <w:rStyle w:val="None"/>
        </w:rPr>
        <w:t xml:space="preserve"> Conneticut: People’s Medical Publishing House.</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Yang, Y., Cui, Y., Sang, K., Dong, Y., Ni, Z., Ma, S., &amp; Hu, H. (2018). Ketamine blocks bursting in the lateral habenula to rapidly relieve depression. </w:t>
      </w:r>
      <w:r w:rsidRPr="006C2DA7">
        <w:rPr>
          <w:rStyle w:val="None"/>
          <w:i/>
          <w:iCs/>
        </w:rPr>
        <w:t>Nature, 554</w:t>
      </w:r>
      <w:r w:rsidRPr="006C2DA7">
        <w:rPr>
          <w:rStyle w:val="None"/>
        </w:rPr>
        <w:t>(7692), 317.</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Yin, B., Terhune, D. B., Smythies, J., &amp; Meck, W. H. (2016). Claustrum, consciousness, and time perception. </w:t>
      </w:r>
      <w:r w:rsidRPr="006C2DA7">
        <w:rPr>
          <w:rStyle w:val="None"/>
          <w:i/>
          <w:iCs/>
        </w:rPr>
        <w:t>Current Opinion in Behavioral Sciences, 8</w:t>
      </w:r>
      <w:r w:rsidRPr="006C2DA7">
        <w:rPr>
          <w:rStyle w:val="None"/>
        </w:rPr>
        <w:t>, 258-267. doi:10.1016/j.cobeha.2016.02.032</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Young, E. (2018). Cultivate your unconscious. </w:t>
      </w:r>
      <w:r w:rsidRPr="006C2DA7">
        <w:rPr>
          <w:rStyle w:val="None"/>
          <w:i/>
          <w:iCs/>
        </w:rPr>
        <w:t>NewScientist</w:t>
      </w:r>
      <w:r w:rsidRPr="006C2DA7">
        <w:rPr>
          <w:rStyle w:val="None"/>
        </w:rPr>
        <w:t xml:space="preserve"> (28. July), 35-39.</w:t>
      </w:r>
    </w:p>
    <w:p w:rsidR="001000A3" w:rsidRPr="006C2DA7" w:rsidRDefault="00462402" w:rsidP="00D4376B">
      <w:pPr>
        <w:pStyle w:val="Brdtekst"/>
        <w:tabs>
          <w:tab w:val="left" w:pos="426"/>
        </w:tabs>
        <w:spacing w:line="360" w:lineRule="auto"/>
        <w:ind w:left="851" w:right="421" w:hanging="709"/>
        <w:rPr>
          <w:rStyle w:val="None"/>
        </w:rPr>
      </w:pPr>
      <w:r w:rsidRPr="006C2DA7">
        <w:rPr>
          <w:rStyle w:val="None"/>
        </w:rPr>
        <w:t xml:space="preserve">Zentner, M., Grandjean, D., &amp; Scherer, K. R. (2008). Emotions evoked by the sound of music: characterization, classification, and measurement. </w:t>
      </w:r>
      <w:r w:rsidRPr="006C2DA7">
        <w:rPr>
          <w:rStyle w:val="None"/>
          <w:i/>
          <w:iCs/>
        </w:rPr>
        <w:t>Emotion, 8</w:t>
      </w:r>
      <w:r w:rsidRPr="006C2DA7">
        <w:rPr>
          <w:rStyle w:val="None"/>
        </w:rPr>
        <w:t>(4), 494.</w:t>
      </w:r>
    </w:p>
    <w:p w:rsidR="001000A3" w:rsidRPr="006C2DA7" w:rsidRDefault="00462402" w:rsidP="00D4376B">
      <w:pPr>
        <w:pStyle w:val="Brdtekst"/>
        <w:tabs>
          <w:tab w:val="left" w:pos="426"/>
        </w:tabs>
        <w:spacing w:line="360" w:lineRule="auto"/>
        <w:ind w:left="851" w:right="421" w:hanging="709"/>
      </w:pPr>
      <w:r w:rsidRPr="006C2DA7">
        <w:rPr>
          <w:rStyle w:val="None"/>
        </w:rPr>
        <w:t xml:space="preserve">Zhang, Y., Butelman, E. R., Schlussman, S. D., Ho, A., &amp; Kreek, M. J. (2005). Effects of the plant-derived hallucinogen salvinorin A on basal dopamine levels in the caudate putamen and in a conditioned place aversion assay in mice: agonist actions at kappa opioid receptors. </w:t>
      </w:r>
      <w:r w:rsidRPr="006C2DA7">
        <w:rPr>
          <w:rStyle w:val="None"/>
          <w:i/>
          <w:iCs/>
        </w:rPr>
        <w:t>Psychopharmacology, 179</w:t>
      </w:r>
      <w:r w:rsidRPr="006C2DA7">
        <w:rPr>
          <w:rStyle w:val="None"/>
        </w:rPr>
        <w:t>(3), 551-558.</w:t>
      </w:r>
    </w:p>
    <w:sectPr w:rsidR="001000A3" w:rsidRPr="006C2DA7" w:rsidSect="00071756">
      <w:pgSz w:w="11920" w:h="16840"/>
      <w:pgMar w:top="1588" w:right="1179" w:bottom="851" w:left="1298" w:header="360" w:footer="0" w:gutter="0"/>
      <w:cols w:space="72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B5D" w:rsidRDefault="00C97B5D">
      <w:r>
        <w:separator/>
      </w:r>
    </w:p>
  </w:endnote>
  <w:endnote w:type="continuationSeparator" w:id="0">
    <w:p w:rsidR="00C97B5D" w:rsidRDefault="00C97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altName w:val="Corbel"/>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B5D" w:rsidRDefault="00C97B5D">
      <w:r>
        <w:separator/>
      </w:r>
    </w:p>
  </w:footnote>
  <w:footnote w:type="continuationSeparator" w:id="0">
    <w:p w:rsidR="00C97B5D" w:rsidRDefault="00C97B5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586214"/>
      <w:docPartObj>
        <w:docPartGallery w:val="Page Numbers (Top of Page)"/>
        <w:docPartUnique/>
      </w:docPartObj>
    </w:sdtPr>
    <w:sdtContent>
      <w:p w:rsidR="00071756" w:rsidRDefault="00527615">
        <w:pPr>
          <w:pStyle w:val="Topptekst"/>
          <w:jc w:val="right"/>
        </w:pPr>
        <w:fldSimple w:instr="PAGE   \* MERGEFORMAT">
          <w:r w:rsidR="00D801B6" w:rsidRPr="00D801B6">
            <w:rPr>
              <w:noProof/>
              <w:lang w:val="nb-NO"/>
            </w:rPr>
            <w:t>1</w:t>
          </w:r>
        </w:fldSimple>
      </w:p>
    </w:sdtContent>
  </w:sdt>
  <w:p w:rsidR="006C2DA7" w:rsidRDefault="006C2DA7">
    <w:pPr>
      <w:pStyle w:val="Toppteks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6B" w:rsidRDefault="00D4376B">
    <w:pPr>
      <w:pStyle w:val="Brdtekst"/>
      <w:spacing w:line="14" w:lineRule="auto"/>
      <w:rPr>
        <w:sz w:val="2"/>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56C87"/>
    <w:multiLevelType w:val="hybridMultilevel"/>
    <w:tmpl w:val="ED4CFA00"/>
    <w:numStyleLink w:val="Bullets"/>
  </w:abstractNum>
  <w:abstractNum w:abstractNumId="1">
    <w:nsid w:val="26694216"/>
    <w:multiLevelType w:val="hybridMultilevel"/>
    <w:tmpl w:val="ED4CFA00"/>
    <w:styleLink w:val="Bullets"/>
    <w:lvl w:ilvl="0" w:tplc="9A2AC948">
      <w:start w:val="1"/>
      <w:numFmt w:val="bullet"/>
      <w:lvlText w:val="•"/>
      <w:lvlJc w:val="left"/>
      <w:pPr>
        <w:tabs>
          <w:tab w:val="left" w:pos="324"/>
          <w:tab w:val="num" w:pos="473"/>
        </w:tabs>
        <w:ind w:left="189" w:firstLine="94"/>
      </w:pPr>
      <w:rPr>
        <w:rFonts w:hAnsi="Arial Unicode MS"/>
        <w:caps w:val="0"/>
        <w:smallCaps w:val="0"/>
        <w:strike w:val="0"/>
        <w:dstrike w:val="0"/>
        <w:spacing w:val="0"/>
        <w:w w:val="100"/>
        <w:kern w:val="0"/>
        <w:position w:val="0"/>
        <w:highlight w:val="none"/>
        <w:vertAlign w:val="baseline"/>
      </w:rPr>
    </w:lvl>
    <w:lvl w:ilvl="1" w:tplc="762AB1F0">
      <w:start w:val="1"/>
      <w:numFmt w:val="bullet"/>
      <w:lvlText w:val="•"/>
      <w:lvlJc w:val="left"/>
      <w:pPr>
        <w:tabs>
          <w:tab w:val="left" w:pos="324"/>
          <w:tab w:val="num" w:pos="1073"/>
        </w:tabs>
        <w:ind w:left="789" w:firstLine="94"/>
      </w:pPr>
      <w:rPr>
        <w:rFonts w:hAnsi="Arial Unicode MS"/>
        <w:caps w:val="0"/>
        <w:smallCaps w:val="0"/>
        <w:strike w:val="0"/>
        <w:dstrike w:val="0"/>
        <w:spacing w:val="0"/>
        <w:w w:val="100"/>
        <w:kern w:val="0"/>
        <w:position w:val="0"/>
        <w:highlight w:val="none"/>
        <w:vertAlign w:val="baseline"/>
      </w:rPr>
    </w:lvl>
    <w:lvl w:ilvl="2" w:tplc="B7581838">
      <w:start w:val="1"/>
      <w:numFmt w:val="bullet"/>
      <w:lvlText w:val="•"/>
      <w:lvlJc w:val="left"/>
      <w:pPr>
        <w:tabs>
          <w:tab w:val="left" w:pos="324"/>
          <w:tab w:val="num" w:pos="1673"/>
        </w:tabs>
        <w:ind w:left="1389" w:firstLine="94"/>
      </w:pPr>
      <w:rPr>
        <w:rFonts w:hAnsi="Arial Unicode MS"/>
        <w:caps w:val="0"/>
        <w:smallCaps w:val="0"/>
        <w:strike w:val="0"/>
        <w:dstrike w:val="0"/>
        <w:spacing w:val="0"/>
        <w:w w:val="100"/>
        <w:kern w:val="0"/>
        <w:position w:val="0"/>
        <w:highlight w:val="none"/>
        <w:vertAlign w:val="baseline"/>
      </w:rPr>
    </w:lvl>
    <w:lvl w:ilvl="3" w:tplc="8000F27A">
      <w:start w:val="1"/>
      <w:numFmt w:val="bullet"/>
      <w:lvlText w:val="•"/>
      <w:lvlJc w:val="left"/>
      <w:pPr>
        <w:tabs>
          <w:tab w:val="left" w:pos="324"/>
          <w:tab w:val="num" w:pos="2273"/>
        </w:tabs>
        <w:ind w:left="1989" w:firstLine="94"/>
      </w:pPr>
      <w:rPr>
        <w:rFonts w:hAnsi="Arial Unicode MS"/>
        <w:caps w:val="0"/>
        <w:smallCaps w:val="0"/>
        <w:strike w:val="0"/>
        <w:dstrike w:val="0"/>
        <w:spacing w:val="0"/>
        <w:w w:val="100"/>
        <w:kern w:val="0"/>
        <w:position w:val="0"/>
        <w:highlight w:val="none"/>
        <w:vertAlign w:val="baseline"/>
      </w:rPr>
    </w:lvl>
    <w:lvl w:ilvl="4" w:tplc="E33CFFEA">
      <w:start w:val="1"/>
      <w:numFmt w:val="bullet"/>
      <w:lvlText w:val="•"/>
      <w:lvlJc w:val="left"/>
      <w:pPr>
        <w:tabs>
          <w:tab w:val="left" w:pos="324"/>
          <w:tab w:val="num" w:pos="2873"/>
        </w:tabs>
        <w:ind w:left="2589" w:firstLine="94"/>
      </w:pPr>
      <w:rPr>
        <w:rFonts w:hAnsi="Arial Unicode MS"/>
        <w:caps w:val="0"/>
        <w:smallCaps w:val="0"/>
        <w:strike w:val="0"/>
        <w:dstrike w:val="0"/>
        <w:spacing w:val="0"/>
        <w:w w:val="100"/>
        <w:kern w:val="0"/>
        <w:position w:val="0"/>
        <w:highlight w:val="none"/>
        <w:vertAlign w:val="baseline"/>
      </w:rPr>
    </w:lvl>
    <w:lvl w:ilvl="5" w:tplc="57BC197A">
      <w:start w:val="1"/>
      <w:numFmt w:val="bullet"/>
      <w:lvlText w:val="•"/>
      <w:lvlJc w:val="left"/>
      <w:pPr>
        <w:tabs>
          <w:tab w:val="left" w:pos="324"/>
          <w:tab w:val="num" w:pos="3473"/>
        </w:tabs>
        <w:ind w:left="3189" w:firstLine="94"/>
      </w:pPr>
      <w:rPr>
        <w:rFonts w:hAnsi="Arial Unicode MS"/>
        <w:caps w:val="0"/>
        <w:smallCaps w:val="0"/>
        <w:strike w:val="0"/>
        <w:dstrike w:val="0"/>
        <w:spacing w:val="0"/>
        <w:w w:val="100"/>
        <w:kern w:val="0"/>
        <w:position w:val="0"/>
        <w:highlight w:val="none"/>
        <w:vertAlign w:val="baseline"/>
      </w:rPr>
    </w:lvl>
    <w:lvl w:ilvl="6" w:tplc="D1F42534">
      <w:start w:val="1"/>
      <w:numFmt w:val="bullet"/>
      <w:lvlText w:val="•"/>
      <w:lvlJc w:val="left"/>
      <w:pPr>
        <w:tabs>
          <w:tab w:val="left" w:pos="324"/>
          <w:tab w:val="num" w:pos="4073"/>
        </w:tabs>
        <w:ind w:left="3789" w:firstLine="94"/>
      </w:pPr>
      <w:rPr>
        <w:rFonts w:hAnsi="Arial Unicode MS"/>
        <w:caps w:val="0"/>
        <w:smallCaps w:val="0"/>
        <w:strike w:val="0"/>
        <w:dstrike w:val="0"/>
        <w:spacing w:val="0"/>
        <w:w w:val="100"/>
        <w:kern w:val="0"/>
        <w:position w:val="0"/>
        <w:highlight w:val="none"/>
        <w:vertAlign w:val="baseline"/>
      </w:rPr>
    </w:lvl>
    <w:lvl w:ilvl="7" w:tplc="8A763B52">
      <w:start w:val="1"/>
      <w:numFmt w:val="bullet"/>
      <w:lvlText w:val="•"/>
      <w:lvlJc w:val="left"/>
      <w:pPr>
        <w:tabs>
          <w:tab w:val="left" w:pos="324"/>
          <w:tab w:val="num" w:pos="4673"/>
        </w:tabs>
        <w:ind w:left="4389" w:firstLine="94"/>
      </w:pPr>
      <w:rPr>
        <w:rFonts w:hAnsi="Arial Unicode MS"/>
        <w:caps w:val="0"/>
        <w:smallCaps w:val="0"/>
        <w:strike w:val="0"/>
        <w:dstrike w:val="0"/>
        <w:spacing w:val="0"/>
        <w:w w:val="100"/>
        <w:kern w:val="0"/>
        <w:position w:val="0"/>
        <w:highlight w:val="none"/>
        <w:vertAlign w:val="baseline"/>
      </w:rPr>
    </w:lvl>
    <w:lvl w:ilvl="8" w:tplc="14B26956">
      <w:start w:val="1"/>
      <w:numFmt w:val="bullet"/>
      <w:lvlText w:val="•"/>
      <w:lvlJc w:val="left"/>
      <w:pPr>
        <w:tabs>
          <w:tab w:val="left" w:pos="324"/>
          <w:tab w:val="num" w:pos="5273"/>
        </w:tabs>
        <w:ind w:left="4989" w:firstLine="94"/>
      </w:pPr>
      <w:rPr>
        <w:rFonts w:hAnsi="Arial Unicode MS"/>
        <w:caps w:val="0"/>
        <w:smallCaps w:val="0"/>
        <w:strike w:val="0"/>
        <w:dstrike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1000A3"/>
    <w:rsid w:val="00026C44"/>
    <w:rsid w:val="0003767B"/>
    <w:rsid w:val="000433CA"/>
    <w:rsid w:val="00052ED8"/>
    <w:rsid w:val="00065685"/>
    <w:rsid w:val="00071756"/>
    <w:rsid w:val="0009685D"/>
    <w:rsid w:val="000C197F"/>
    <w:rsid w:val="000C4A88"/>
    <w:rsid w:val="000E0DEE"/>
    <w:rsid w:val="001000A3"/>
    <w:rsid w:val="00114341"/>
    <w:rsid w:val="001212A6"/>
    <w:rsid w:val="00161C28"/>
    <w:rsid w:val="0017163E"/>
    <w:rsid w:val="001F7129"/>
    <w:rsid w:val="00207C3D"/>
    <w:rsid w:val="002934B6"/>
    <w:rsid w:val="00294830"/>
    <w:rsid w:val="003141A4"/>
    <w:rsid w:val="00342550"/>
    <w:rsid w:val="003739F8"/>
    <w:rsid w:val="00386107"/>
    <w:rsid w:val="003C02E0"/>
    <w:rsid w:val="003E5205"/>
    <w:rsid w:val="00414551"/>
    <w:rsid w:val="0041616B"/>
    <w:rsid w:val="00462402"/>
    <w:rsid w:val="004856E6"/>
    <w:rsid w:val="004B306C"/>
    <w:rsid w:val="004C5927"/>
    <w:rsid w:val="00523340"/>
    <w:rsid w:val="00527615"/>
    <w:rsid w:val="0055728C"/>
    <w:rsid w:val="00590C12"/>
    <w:rsid w:val="005E7B5F"/>
    <w:rsid w:val="00655679"/>
    <w:rsid w:val="006C2DA7"/>
    <w:rsid w:val="006F25D8"/>
    <w:rsid w:val="00720F7A"/>
    <w:rsid w:val="00782B49"/>
    <w:rsid w:val="007A0911"/>
    <w:rsid w:val="007A0BF0"/>
    <w:rsid w:val="007C30E0"/>
    <w:rsid w:val="0080567A"/>
    <w:rsid w:val="00810163"/>
    <w:rsid w:val="008339B5"/>
    <w:rsid w:val="00851759"/>
    <w:rsid w:val="008910C5"/>
    <w:rsid w:val="008A6017"/>
    <w:rsid w:val="008E69BF"/>
    <w:rsid w:val="00904C16"/>
    <w:rsid w:val="0094799F"/>
    <w:rsid w:val="00956979"/>
    <w:rsid w:val="00996B1D"/>
    <w:rsid w:val="009D4430"/>
    <w:rsid w:val="009D5F1E"/>
    <w:rsid w:val="009F3908"/>
    <w:rsid w:val="00A4292F"/>
    <w:rsid w:val="00A52F24"/>
    <w:rsid w:val="00A85D74"/>
    <w:rsid w:val="00AA36EB"/>
    <w:rsid w:val="00AE41F2"/>
    <w:rsid w:val="00AF69AF"/>
    <w:rsid w:val="00B30C09"/>
    <w:rsid w:val="00B516F8"/>
    <w:rsid w:val="00BA471C"/>
    <w:rsid w:val="00BB19B7"/>
    <w:rsid w:val="00C038DF"/>
    <w:rsid w:val="00C55DA6"/>
    <w:rsid w:val="00C70C9A"/>
    <w:rsid w:val="00C871FF"/>
    <w:rsid w:val="00C95851"/>
    <w:rsid w:val="00C97B5D"/>
    <w:rsid w:val="00CA6236"/>
    <w:rsid w:val="00CA7333"/>
    <w:rsid w:val="00CB4D2E"/>
    <w:rsid w:val="00D269BE"/>
    <w:rsid w:val="00D4376B"/>
    <w:rsid w:val="00D801B6"/>
    <w:rsid w:val="00DC3818"/>
    <w:rsid w:val="00DE4064"/>
    <w:rsid w:val="00DF572D"/>
    <w:rsid w:val="00E608C0"/>
    <w:rsid w:val="00EE4B75"/>
    <w:rsid w:val="00F12940"/>
    <w:rsid w:val="00F75475"/>
    <w:rsid w:val="00F81FEF"/>
    <w:rsid w:val="00F83F61"/>
    <w:rsid w:val="00FD2433"/>
  </w:rsids>
  <m:mathPr>
    <m:mathFont m:val="Wingdings 2"/>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7615"/>
  </w:style>
  <w:style w:type="paragraph" w:styleId="Overskrift2">
    <w:name w:val="heading 2"/>
    <w:rsid w:val="00527615"/>
    <w:pPr>
      <w:widowControl w:val="0"/>
      <w:ind w:left="1466" w:right="101"/>
      <w:jc w:val="center"/>
      <w:outlineLvl w:val="1"/>
    </w:pPr>
    <w:rPr>
      <w:rFonts w:cs="Arial Unicode MS"/>
      <w:b/>
      <w:bCs/>
      <w:color w:val="000000"/>
      <w:u w:color="000000"/>
      <w:lang w:val="da-DK"/>
    </w:rPr>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character" w:styleId="Hyperkobling">
    <w:name w:val="Hyperlink"/>
    <w:rsid w:val="00527615"/>
    <w:rPr>
      <w:u w:val="single"/>
    </w:rPr>
  </w:style>
  <w:style w:type="paragraph" w:customStyle="1" w:styleId="HeaderFooter">
    <w:name w:val="Header &amp; Footer"/>
    <w:rsid w:val="00527615"/>
    <w:pPr>
      <w:tabs>
        <w:tab w:val="right" w:pos="9020"/>
      </w:tabs>
    </w:pPr>
    <w:rPr>
      <w:rFonts w:ascii="Helvetica Neue" w:hAnsi="Helvetica Neue" w:cs="Arial Unicode MS"/>
      <w:color w:val="000000"/>
    </w:rPr>
  </w:style>
  <w:style w:type="paragraph" w:customStyle="1" w:styleId="Body">
    <w:name w:val="Body"/>
    <w:rsid w:val="00527615"/>
    <w:pPr>
      <w:widowControl w:val="0"/>
    </w:pPr>
    <w:rPr>
      <w:rFonts w:cs="Arial Unicode MS"/>
      <w:color w:val="000000"/>
      <w:sz w:val="22"/>
      <w:szCs w:val="22"/>
      <w:u w:color="000000"/>
    </w:rPr>
  </w:style>
  <w:style w:type="paragraph" w:styleId="Brdtekst">
    <w:name w:val="Body Text"/>
    <w:rsid w:val="00527615"/>
    <w:pPr>
      <w:widowControl w:val="0"/>
    </w:pPr>
    <w:rPr>
      <w:rFonts w:eastAsia="Times New Roman"/>
      <w:color w:val="000000"/>
      <w:u w:color="000000"/>
    </w:rPr>
  </w:style>
  <w:style w:type="paragraph" w:customStyle="1" w:styleId="Heading">
    <w:name w:val="Heading"/>
    <w:rsid w:val="00527615"/>
    <w:pPr>
      <w:widowControl w:val="0"/>
      <w:spacing w:before="89"/>
      <w:ind w:left="2042" w:right="2158"/>
      <w:jc w:val="center"/>
      <w:outlineLvl w:val="0"/>
    </w:pPr>
    <w:rPr>
      <w:rFonts w:ascii="Arial" w:hAnsi="Arial" w:cs="Arial Unicode MS"/>
      <w:b/>
      <w:bCs/>
      <w:color w:val="000000"/>
      <w:sz w:val="32"/>
      <w:szCs w:val="32"/>
      <w:u w:color="000000"/>
    </w:rPr>
  </w:style>
  <w:style w:type="character" w:customStyle="1" w:styleId="None">
    <w:name w:val="None"/>
    <w:rsid w:val="00527615"/>
  </w:style>
  <w:style w:type="character" w:customStyle="1" w:styleId="Hyperlink0">
    <w:name w:val="Hyperlink.0"/>
    <w:basedOn w:val="None"/>
    <w:rsid w:val="00527615"/>
    <w:rPr>
      <w:u w:val="single"/>
    </w:rPr>
  </w:style>
  <w:style w:type="numbering" w:customStyle="1" w:styleId="Bullets">
    <w:name w:val="Bullets"/>
    <w:rsid w:val="00527615"/>
    <w:pPr>
      <w:numPr>
        <w:numId w:val="1"/>
      </w:numPr>
    </w:pPr>
  </w:style>
  <w:style w:type="paragraph" w:customStyle="1" w:styleId="TableParagraph">
    <w:name w:val="Table Paragraph"/>
    <w:uiPriority w:val="1"/>
    <w:qFormat/>
    <w:rsid w:val="00527615"/>
    <w:pPr>
      <w:widowControl w:val="0"/>
      <w:ind w:left="107"/>
    </w:pPr>
    <w:rPr>
      <w:rFonts w:ascii="Arial Unicode MS" w:hAnsi="Arial Unicode MS" w:cs="Arial Unicode MS"/>
      <w:color w:val="000000"/>
      <w:sz w:val="22"/>
      <w:szCs w:val="22"/>
      <w:u w:color="000000"/>
    </w:rPr>
  </w:style>
  <w:style w:type="character" w:styleId="Merknadsreferanse">
    <w:name w:val="annotation reference"/>
    <w:basedOn w:val="Standardskriftforavsnitt"/>
    <w:uiPriority w:val="99"/>
    <w:semiHidden/>
    <w:unhideWhenUsed/>
    <w:rsid w:val="00161C28"/>
    <w:rPr>
      <w:sz w:val="18"/>
      <w:szCs w:val="18"/>
    </w:rPr>
  </w:style>
  <w:style w:type="paragraph" w:styleId="Merknadstekst">
    <w:name w:val="annotation text"/>
    <w:basedOn w:val="Normal"/>
    <w:link w:val="MerknadstekstTegn"/>
    <w:uiPriority w:val="99"/>
    <w:semiHidden/>
    <w:unhideWhenUsed/>
    <w:rsid w:val="00161C28"/>
  </w:style>
  <w:style w:type="character" w:customStyle="1" w:styleId="MerknadstekstTegn">
    <w:name w:val="Merknadstekst Tegn"/>
    <w:basedOn w:val="Standardskriftforavsnitt"/>
    <w:link w:val="Merknadstekst"/>
    <w:uiPriority w:val="99"/>
    <w:semiHidden/>
    <w:rsid w:val="00161C28"/>
    <w:rPr>
      <w:sz w:val="24"/>
      <w:szCs w:val="24"/>
    </w:rPr>
  </w:style>
  <w:style w:type="paragraph" w:styleId="Kommentaremne">
    <w:name w:val="annotation subject"/>
    <w:basedOn w:val="Merknadstekst"/>
    <w:next w:val="Merknadstekst"/>
    <w:link w:val="KommentaremneTegn"/>
    <w:uiPriority w:val="99"/>
    <w:semiHidden/>
    <w:unhideWhenUsed/>
    <w:rsid w:val="00161C28"/>
    <w:rPr>
      <w:b/>
      <w:bCs/>
      <w:sz w:val="20"/>
      <w:szCs w:val="20"/>
    </w:rPr>
  </w:style>
  <w:style w:type="character" w:customStyle="1" w:styleId="KommentaremneTegn">
    <w:name w:val="Kommentaremne Tegn"/>
    <w:basedOn w:val="MerknadstekstTegn"/>
    <w:link w:val="Kommentaremne"/>
    <w:uiPriority w:val="99"/>
    <w:semiHidden/>
    <w:rsid w:val="00161C28"/>
    <w:rPr>
      <w:b/>
      <w:bCs/>
      <w:sz w:val="24"/>
      <w:szCs w:val="24"/>
    </w:rPr>
  </w:style>
  <w:style w:type="paragraph" w:styleId="Bobletekst">
    <w:name w:val="Balloon Text"/>
    <w:basedOn w:val="Normal"/>
    <w:link w:val="BobletekstTegn"/>
    <w:uiPriority w:val="99"/>
    <w:semiHidden/>
    <w:unhideWhenUsed/>
    <w:rsid w:val="00161C28"/>
    <w:rPr>
      <w:sz w:val="18"/>
      <w:szCs w:val="18"/>
    </w:rPr>
  </w:style>
  <w:style w:type="character" w:customStyle="1" w:styleId="BobletekstTegn">
    <w:name w:val="Bobletekst Tegn"/>
    <w:basedOn w:val="Standardskriftforavsnitt"/>
    <w:link w:val="Bobletekst"/>
    <w:uiPriority w:val="99"/>
    <w:semiHidden/>
    <w:rsid w:val="00161C28"/>
    <w:rPr>
      <w:sz w:val="18"/>
      <w:szCs w:val="18"/>
    </w:rPr>
  </w:style>
  <w:style w:type="paragraph" w:styleId="Dokumentkart">
    <w:name w:val="Document Map"/>
    <w:basedOn w:val="Normal"/>
    <w:link w:val="DokumentkartTegn"/>
    <w:uiPriority w:val="99"/>
    <w:semiHidden/>
    <w:unhideWhenUsed/>
    <w:rsid w:val="00B30C09"/>
  </w:style>
  <w:style w:type="character" w:customStyle="1" w:styleId="DokumentkartTegn">
    <w:name w:val="Dokumentkart Tegn"/>
    <w:basedOn w:val="Standardskriftforavsnitt"/>
    <w:link w:val="Dokumentkart"/>
    <w:uiPriority w:val="99"/>
    <w:semiHidden/>
    <w:rsid w:val="00B30C09"/>
    <w:rPr>
      <w:sz w:val="24"/>
      <w:szCs w:val="24"/>
    </w:rPr>
  </w:style>
  <w:style w:type="paragraph" w:styleId="Revisjon">
    <w:name w:val="Revision"/>
    <w:hidden/>
    <w:uiPriority w:val="99"/>
    <w:semiHidden/>
    <w:rsid w:val="00B30C09"/>
    <w:pPr>
      <w:pBdr>
        <w:top w:val="none" w:sz="0" w:space="0" w:color="auto"/>
        <w:left w:val="none" w:sz="0" w:space="0" w:color="auto"/>
        <w:bottom w:val="none" w:sz="0" w:space="0" w:color="auto"/>
        <w:right w:val="none" w:sz="0" w:space="0" w:color="auto"/>
        <w:between w:val="none" w:sz="0" w:space="0" w:color="auto"/>
        <w:bar w:val="none" w:sz="0" w:color="auto"/>
      </w:pBdr>
    </w:pPr>
  </w:style>
  <w:style w:type="paragraph" w:styleId="Ingenmellomrom">
    <w:name w:val="No Spacing"/>
    <w:uiPriority w:val="1"/>
    <w:qFormat/>
    <w:rsid w:val="006C2DA7"/>
  </w:style>
  <w:style w:type="paragraph" w:styleId="Topptekst">
    <w:name w:val="header"/>
    <w:basedOn w:val="Normal"/>
    <w:link w:val="TopptekstTegn"/>
    <w:uiPriority w:val="99"/>
    <w:unhideWhenUsed/>
    <w:rsid w:val="006C2DA7"/>
    <w:pPr>
      <w:tabs>
        <w:tab w:val="center" w:pos="4536"/>
        <w:tab w:val="right" w:pos="9072"/>
      </w:tabs>
    </w:pPr>
  </w:style>
  <w:style w:type="character" w:customStyle="1" w:styleId="TopptekstTegn">
    <w:name w:val="Topptekst Tegn"/>
    <w:basedOn w:val="Standardskriftforavsnitt"/>
    <w:link w:val="Topptekst"/>
    <w:uiPriority w:val="99"/>
    <w:rsid w:val="006C2DA7"/>
  </w:style>
  <w:style w:type="paragraph" w:styleId="Bunntekst">
    <w:name w:val="footer"/>
    <w:basedOn w:val="Normal"/>
    <w:link w:val="BunntekstTegn"/>
    <w:uiPriority w:val="99"/>
    <w:unhideWhenUsed/>
    <w:rsid w:val="006C2DA7"/>
    <w:pPr>
      <w:tabs>
        <w:tab w:val="center" w:pos="4536"/>
        <w:tab w:val="right" w:pos="9072"/>
      </w:tabs>
    </w:pPr>
  </w:style>
  <w:style w:type="character" w:customStyle="1" w:styleId="BunntekstTegn">
    <w:name w:val="Bunntekst Tegn"/>
    <w:basedOn w:val="Standardskriftforavsnitt"/>
    <w:link w:val="Bunntekst"/>
    <w:uiPriority w:val="99"/>
    <w:rsid w:val="006C2DA7"/>
  </w:style>
  <w:style w:type="character" w:styleId="Uthevet">
    <w:name w:val="Emphasis"/>
    <w:basedOn w:val="Standardskriftforavsnitt"/>
    <w:uiPriority w:val="20"/>
    <w:rsid w:val="004856E6"/>
    <w:rPr>
      <w:i/>
    </w:rPr>
  </w:style>
</w:styles>
</file>

<file path=word/webSettings.xml><?xml version="1.0" encoding="utf-8"?>
<w:webSettings xmlns:r="http://schemas.openxmlformats.org/officeDocument/2006/relationships" xmlns:w="http://schemas.openxmlformats.org/wordprocessingml/2006/main">
  <w:divs>
    <w:div w:id="7482380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jgr@fhi.no"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30</Pages>
  <Words>10591</Words>
  <Characters>60369</Characters>
  <Application>Microsoft Macintosh Word</Application>
  <DocSecurity>0</DocSecurity>
  <Lines>503</Lines>
  <Paragraphs>120</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74137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Bjørn Grinde</cp:lastModifiedBy>
  <cp:revision>4</cp:revision>
  <cp:lastPrinted>2020-03-02T10:18:00Z</cp:lastPrinted>
  <dcterms:created xsi:type="dcterms:W3CDTF">2020-06-04T18:37:00Z</dcterms:created>
  <dcterms:modified xsi:type="dcterms:W3CDTF">2020-06-04T18:43:00Z</dcterms:modified>
</cp:coreProperties>
</file>